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16</w:t>
      </w:r>
    </w:p>
    <w:p>
      <w:pPr>
        <w:shd w:val="clear" w:color="auto" w:fill="FFFFFF"/>
        <w:jc w:val="center"/>
        <w:rPr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23.01.2024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>
      <w:pPr>
        <w:jc w:val="both"/>
        <w:textAlignment w:val="baseline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155771796"/>
      <w:bookmarkStart w:id="1" w:name="_Hlk155773842"/>
      <w:r>
        <w:rPr>
          <w:rFonts w:eastAsia="Times New Roman"/>
          <w:b/>
          <w:sz w:val="28"/>
          <w:szCs w:val="28"/>
          <w:lang w:eastAsia="uk-UA"/>
        </w:rPr>
        <w:t xml:space="preserve">Реконструкція </w:t>
      </w:r>
      <w:bookmarkEnd w:id="0"/>
      <w:r>
        <w:rPr>
          <w:rFonts w:eastAsia="Times New Roman"/>
          <w:b/>
          <w:sz w:val="28"/>
          <w:szCs w:val="28"/>
          <w:lang w:eastAsia="uk-UA"/>
        </w:rPr>
        <w:t xml:space="preserve">магазину з будівництвом прибудови по вул. </w:t>
      </w:r>
      <w:r>
        <w:rPr>
          <w:rFonts w:hint="default" w:eastAsia="Times New Roman"/>
          <w:b/>
          <w:sz w:val="28"/>
          <w:szCs w:val="28"/>
          <w:lang w:val="en-US" w:eastAsia="uk-UA"/>
        </w:rPr>
        <w:t xml:space="preserve">----- </w:t>
      </w:r>
      <w:bookmarkStart w:id="3" w:name="_GoBack"/>
      <w:bookmarkEnd w:id="3"/>
      <w:r>
        <w:rPr>
          <w:rFonts w:eastAsia="Times New Roman"/>
          <w:b/>
          <w:sz w:val="28"/>
          <w:szCs w:val="28"/>
          <w:lang w:eastAsia="uk-UA"/>
        </w:rPr>
        <w:t>в с. Попівка Конотопського району Сумської області</w:t>
      </w:r>
      <w:bookmarkEnd w:id="1"/>
      <w:r>
        <w:rPr>
          <w:rFonts w:eastAsia="Times New Roman"/>
          <w:b/>
          <w:sz w:val="28"/>
          <w:szCs w:val="28"/>
          <w:lang w:eastAsia="uk-UA"/>
        </w:rPr>
        <w:t>»</w:t>
      </w:r>
    </w:p>
    <w:p>
      <w:pPr>
        <w:jc w:val="both"/>
        <w:textAlignment w:val="baseline"/>
        <w:rPr>
          <w:b/>
          <w:bCs/>
          <w:szCs w:val="28"/>
          <w:lang w:eastAsia="uk-UA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Банько Ілони Василівни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 </w:t>
      </w:r>
      <w:bookmarkStart w:id="2" w:name="_Hlk155770479"/>
      <w:r>
        <w:rPr>
          <w:szCs w:val="28"/>
        </w:rPr>
        <w:t xml:space="preserve">копією </w:t>
      </w:r>
      <w:bookmarkEnd w:id="2"/>
      <w:r>
        <w:rPr>
          <w:szCs w:val="28"/>
        </w:rPr>
        <w:t xml:space="preserve">свідоцтва про право власності на нерухоме майно від 21.06.2007 серія САВ №277606, копією державного акту на право власності на земельну ділянку від 04.05.2007 серія ЯД №146685, викопіюванням з топографо-геодезичного плану М 1:2000, статтями 40, 52 Закону України «Про місцеве самоврядування в Україні»,  </w:t>
      </w:r>
    </w:p>
    <w:p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2-М для проектування об’єкта будівництва: «Реконструкція магазину з будівництвом прибудови по вул. </w:t>
      </w:r>
      <w:r>
        <w:rPr>
          <w:rFonts w:hint="default"/>
          <w:szCs w:val="28"/>
          <w:lang w:val="uk-UA"/>
        </w:rPr>
        <w:t xml:space="preserve">-------- </w:t>
      </w:r>
      <w:r>
        <w:rPr>
          <w:szCs w:val="28"/>
        </w:rPr>
        <w:t xml:space="preserve">в с. Попівка Конотопського району Сумської області» замовником яких виступає Банько Ілона Василівна (ІПН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>).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>
      <w:r>
        <w:t>Тетяна МІЩЕНКО</w:t>
      </w:r>
    </w:p>
    <w:p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1134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17E"/>
    <w:rsid w:val="0002013B"/>
    <w:rsid w:val="00060B1C"/>
    <w:rsid w:val="000858BB"/>
    <w:rsid w:val="000A6CA6"/>
    <w:rsid w:val="000C1404"/>
    <w:rsid w:val="000E6EF6"/>
    <w:rsid w:val="000F5D31"/>
    <w:rsid w:val="00136467"/>
    <w:rsid w:val="00185805"/>
    <w:rsid w:val="00187C32"/>
    <w:rsid w:val="001A3A08"/>
    <w:rsid w:val="002013C2"/>
    <w:rsid w:val="00217DFA"/>
    <w:rsid w:val="002201A9"/>
    <w:rsid w:val="002409A2"/>
    <w:rsid w:val="002579BF"/>
    <w:rsid w:val="00271F5F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503479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E4E48"/>
    <w:rsid w:val="00701FF2"/>
    <w:rsid w:val="0071702D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42A7"/>
    <w:rsid w:val="00835F59"/>
    <w:rsid w:val="00840069"/>
    <w:rsid w:val="00866A0C"/>
    <w:rsid w:val="008D101D"/>
    <w:rsid w:val="008D21EE"/>
    <w:rsid w:val="00900F8C"/>
    <w:rsid w:val="009259A2"/>
    <w:rsid w:val="0093325F"/>
    <w:rsid w:val="00965E48"/>
    <w:rsid w:val="00970DBE"/>
    <w:rsid w:val="009731FA"/>
    <w:rsid w:val="009A5C4C"/>
    <w:rsid w:val="009B0109"/>
    <w:rsid w:val="009B1BE2"/>
    <w:rsid w:val="009B1F32"/>
    <w:rsid w:val="009F50BA"/>
    <w:rsid w:val="00A13C9D"/>
    <w:rsid w:val="00A234D9"/>
    <w:rsid w:val="00A95EAE"/>
    <w:rsid w:val="00AC0356"/>
    <w:rsid w:val="00AC0B4E"/>
    <w:rsid w:val="00AC63B2"/>
    <w:rsid w:val="00AE0759"/>
    <w:rsid w:val="00AE5105"/>
    <w:rsid w:val="00AF2825"/>
    <w:rsid w:val="00B007A0"/>
    <w:rsid w:val="00B345E8"/>
    <w:rsid w:val="00B364E8"/>
    <w:rsid w:val="00B5062B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591C"/>
    <w:rsid w:val="00D13C49"/>
    <w:rsid w:val="00D16C7D"/>
    <w:rsid w:val="00D21F43"/>
    <w:rsid w:val="00D362D4"/>
    <w:rsid w:val="00D4650F"/>
    <w:rsid w:val="00D52B91"/>
    <w:rsid w:val="00D546CA"/>
    <w:rsid w:val="00D61F3B"/>
    <w:rsid w:val="00D63FA6"/>
    <w:rsid w:val="00D90712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96AB0"/>
    <w:rsid w:val="00FA7129"/>
    <w:rsid w:val="00FD25ED"/>
    <w:rsid w:val="00FE0824"/>
    <w:rsid w:val="00FF2743"/>
    <w:rsid w:val="00FF5BFD"/>
    <w:rsid w:val="00FF6EA2"/>
    <w:rsid w:val="0DF41611"/>
    <w:rsid w:val="1F5F3A12"/>
    <w:rsid w:val="54BE13AA"/>
    <w:rsid w:val="6660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1040</Words>
  <Characters>593</Characters>
  <Lines>4</Lines>
  <Paragraphs>3</Paragraphs>
  <TotalTime>823</TotalTime>
  <ScaleCrop>false</ScaleCrop>
  <LinksUpToDate>false</LinksUpToDate>
  <CharactersWithSpaces>1630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Admin</cp:lastModifiedBy>
  <cp:lastPrinted>2023-05-18T07:33:00Z</cp:lastPrinted>
  <dcterms:modified xsi:type="dcterms:W3CDTF">2024-02-02T11:17:25Z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5439843116624CB28FEE0A386C10F914_13</vt:lpwstr>
  </property>
</Properties>
</file>