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pPr>
        <w:pStyle w:val="23"/>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pPr>
        <w:pStyle w:val="23"/>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pPr>
        <w:pStyle w:val="2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pPr>
        <w:pStyle w:val="23"/>
        <w:jc w:val="center"/>
        <w:rPr>
          <w:rFonts w:ascii="Times New Roman" w:hAnsi="Times New Roman" w:cs="Times New Roman"/>
          <w:b/>
          <w:sz w:val="28"/>
          <w:szCs w:val="28"/>
          <w:lang w:val="uk-UA" w:eastAsia="ru-RU"/>
        </w:rPr>
      </w:pPr>
    </w:p>
    <w:p>
      <w:pPr>
        <w:pStyle w:val="23"/>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 xml:space="preserve"> 43</w:t>
      </w:r>
    </w:p>
    <w:p>
      <w:pPr>
        <w:rPr>
          <w:b/>
          <w:sz w:val="26"/>
          <w:szCs w:val="28"/>
          <w:lang w:val="uk-UA"/>
        </w:rPr>
      </w:pPr>
    </w:p>
    <w:p>
      <w:pPr>
        <w:rPr>
          <w:rFonts w:ascii="Times New Roman" w:hAnsi="Times New Roman" w:cs="Times New Roman"/>
          <w:b/>
          <w:sz w:val="28"/>
          <w:szCs w:val="28"/>
          <w:lang w:val="uk-UA"/>
        </w:rPr>
      </w:pPr>
      <w:r>
        <w:rPr>
          <w:rFonts w:ascii="Times New Roman" w:hAnsi="Times New Roman" w:cs="Times New Roman"/>
          <w:b/>
          <w:sz w:val="28"/>
          <w:szCs w:val="28"/>
          <w:lang w:val="uk-UA"/>
        </w:rPr>
        <w:t xml:space="preserve">23.02.2024                                                                                               с. Попівка   </w:t>
      </w: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pPr>
        <w:spacing w:after="0" w:line="240" w:lineRule="auto"/>
        <w:rPr>
          <w:rFonts w:ascii="Times New Roman" w:hAnsi="Times New Roman" w:cs="Times New Roman"/>
          <w:b/>
          <w:sz w:val="28"/>
          <w:szCs w:val="28"/>
          <w:lang w:val="uk-UA" w:eastAsia="ru-RU"/>
        </w:rPr>
      </w:pP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 та надати його на розгляд на затвердження сільської ради.</w:t>
      </w: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23.01.2024 № 7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pPr>
        <w:shd w:val="clear" w:color="auto" w:fill="FFFFFF"/>
        <w:spacing w:after="0" w:line="240" w:lineRule="auto"/>
        <w:rPr>
          <w:rFonts w:ascii="Times New Roman" w:hAnsi="Times New Roman" w:cs="Times New Roman"/>
          <w:b/>
          <w:sz w:val="28"/>
          <w:szCs w:val="28"/>
          <w:lang w:val="uk-UA" w:eastAsia="ru-RU"/>
        </w:rPr>
      </w:pPr>
    </w:p>
    <w:p>
      <w:pPr>
        <w:shd w:val="clear" w:color="auto" w:fill="FFFFFF"/>
        <w:spacing w:after="0" w:line="240" w:lineRule="auto"/>
        <w:rPr>
          <w:rFonts w:ascii="Times New Roman" w:hAnsi="Times New Roman" w:cs="Times New Roman"/>
          <w:b/>
          <w:sz w:val="28"/>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pPr>
        <w:spacing w:after="0" w:line="240" w:lineRule="auto"/>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від 23.02.2024</w:t>
      </w:r>
      <w:r>
        <w:rPr>
          <w:rFonts w:hint="default" w:ascii="Times New Roman" w:hAnsi="Times New Roman" w:cs="Times New Roman"/>
          <w:sz w:val="28"/>
          <w:szCs w:val="28"/>
          <w:lang w:val="uk-UA"/>
        </w:rPr>
        <w:t xml:space="preserve"> №43</w:t>
      </w:r>
      <w:bookmarkStart w:id="0" w:name="_GoBack"/>
      <w:bookmarkEnd w:id="0"/>
    </w:p>
    <w:p>
      <w:pPr>
        <w:spacing w:after="0" w:line="240" w:lineRule="auto"/>
        <w:jc w:val="both"/>
        <w:rPr>
          <w:rFonts w:ascii="Times New Roman" w:hAnsi="Times New Roman" w:cs="Times New Roman"/>
          <w:color w:val="FF0000"/>
          <w:sz w:val="20"/>
          <w:szCs w:val="28"/>
          <w:lang w:val="uk-UA" w:eastAsia="ru-RU"/>
        </w:rPr>
      </w:pPr>
    </w:p>
    <w:p>
      <w:pPr>
        <w:spacing w:after="0" w:line="240" w:lineRule="auto"/>
        <w:jc w:val="both"/>
        <w:rPr>
          <w:rFonts w:ascii="Times New Roman" w:hAnsi="Times New Roman" w:cs="Times New Roman"/>
          <w:sz w:val="20"/>
          <w:szCs w:val="28"/>
          <w:lang w:val="uk-UA" w:eastAsia="ru-RU"/>
        </w:rPr>
      </w:pPr>
    </w:p>
    <w:p>
      <w:pPr>
        <w:spacing w:after="0" w:line="240" w:lineRule="auto"/>
        <w:jc w:val="both"/>
        <w:rPr>
          <w:rFonts w:ascii="Times New Roman" w:hAnsi="Times New Roman" w:cs="Times New Roman"/>
          <w:color w:val="FF0000"/>
          <w:sz w:val="8"/>
          <w:szCs w:val="28"/>
          <w:lang w:val="uk-UA" w:eastAsia="ru-RU"/>
        </w:rPr>
      </w:pPr>
    </w:p>
    <w:p>
      <w:pPr>
        <w:pStyle w:val="12"/>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pPr>
        <w:pStyle w:val="12"/>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1.</w:t>
            </w:r>
          </w:p>
        </w:tc>
        <w:tc>
          <w:tcPr>
            <w:tcW w:w="3324"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p>
            <w:pPr>
              <w:spacing w:after="0" w:line="240" w:lineRule="auto"/>
              <w:jc w:val="both"/>
              <w:rPr>
                <w:rFonts w:ascii="Times New Roman" w:hAnsi="Times New Roman" w:cs="Times New Roman"/>
                <w:iCs/>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2.</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3.</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p>
            <w:pPr>
              <w:spacing w:after="0" w:line="240" w:lineRule="auto"/>
              <w:rPr>
                <w:rFonts w:ascii="Times New Roman" w:hAnsi="Times New Roman" w:cs="Times New Roman"/>
                <w:sz w:val="28"/>
                <w:szCs w:val="28"/>
                <w:lang w:val="uk-UA"/>
              </w:rPr>
            </w:pPr>
          </w:p>
        </w:tc>
        <w:tc>
          <w:tcPr>
            <w:tcW w:w="5760" w:type="dxa"/>
            <w:vAlign w:val="center"/>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4.</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5.</w:t>
            </w:r>
          </w:p>
        </w:tc>
        <w:tc>
          <w:tcPr>
            <w:tcW w:w="3324" w:type="dxa"/>
          </w:tcPr>
          <w:p>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p>
            <w:pPr>
              <w:spacing w:after="0" w:line="240" w:lineRule="auto"/>
              <w:jc w:val="both"/>
              <w:rPr>
                <w:rFonts w:ascii="Times New Roman" w:hAnsi="Times New Roman" w:cs="Times New Roman"/>
                <w:b/>
                <w:iCs/>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6.</w:t>
            </w:r>
          </w:p>
        </w:tc>
        <w:tc>
          <w:tcPr>
            <w:tcW w:w="3324" w:type="dxa"/>
          </w:tcPr>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7.</w:t>
            </w:r>
          </w:p>
        </w:tc>
        <w:tc>
          <w:tcPr>
            <w:tcW w:w="3324" w:type="dxa"/>
          </w:tcPr>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4447106,69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8.1.</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tc>
        <w:tc>
          <w:tcPr>
            <w:tcW w:w="5760" w:type="dxa"/>
            <w:vAlign w:val="center"/>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4447106,69</w:t>
            </w:r>
          </w:p>
        </w:tc>
      </w:tr>
    </w:tbl>
    <w:p>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3"/>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pPr>
        <w:pStyle w:val="13"/>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pPr>
        <w:pStyle w:val="22"/>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pPr>
        <w:pStyle w:val="22"/>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pPr>
        <w:pStyle w:val="22"/>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pPr>
        <w:pStyle w:val="22"/>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pPr>
        <w:pStyle w:val="14"/>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pPr>
        <w:pStyle w:val="12"/>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pPr>
        <w:pStyle w:val="12"/>
        <w:tabs>
          <w:tab w:val="left" w:pos="426"/>
        </w:tabs>
        <w:spacing w:after="0" w:line="240" w:lineRule="auto"/>
        <w:ind w:left="567"/>
        <w:rPr>
          <w:rFonts w:ascii="Times New Roman" w:hAnsi="Times New Roman" w:cs="Times New Roman"/>
          <w:b/>
          <w:sz w:val="18"/>
          <w:szCs w:val="28"/>
          <w:lang w:val="uk-UA"/>
        </w:rPr>
      </w:pPr>
    </w:p>
    <w:p>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належних умов для тимчасового перебування внутрішньо-переміщених (евакуйованих) осіб у зв’язку із дією воєнного стану.</w:t>
      </w:r>
    </w:p>
    <w:p>
      <w:pPr>
        <w:spacing w:after="0" w:line="240" w:lineRule="auto"/>
        <w:rPr>
          <w:sz w:val="18"/>
          <w:szCs w:val="28"/>
          <w:lang w:val="uk-UA"/>
        </w:rPr>
      </w:pPr>
    </w:p>
    <w:p>
      <w:pPr>
        <w:spacing w:after="0" w:line="240" w:lineRule="auto"/>
        <w:rPr>
          <w:sz w:val="2"/>
          <w:szCs w:val="28"/>
          <w:lang w:val="uk-UA"/>
        </w:rPr>
      </w:pPr>
    </w:p>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pPr>
        <w:spacing w:after="0" w:line="240" w:lineRule="auto"/>
        <w:jc w:val="center"/>
        <w:rPr>
          <w:rFonts w:ascii="Times New Roman" w:hAnsi="Times New Roman" w:cs="Times New Roman"/>
          <w:b/>
          <w:sz w:val="14"/>
          <w:szCs w:val="28"/>
          <w:lang w:val="uk-UA"/>
        </w:rPr>
      </w:pPr>
    </w:p>
    <w:p>
      <w:pPr>
        <w:pStyle w:val="12"/>
        <w:spacing w:after="0" w:line="240" w:lineRule="auto"/>
        <w:ind w:left="357"/>
        <w:jc w:val="center"/>
        <w:rPr>
          <w:rFonts w:ascii="Times New Roman" w:hAnsi="Times New Roman" w:cs="Times New Roman"/>
          <w:b/>
          <w:sz w:val="2"/>
          <w:szCs w:val="28"/>
          <w:lang w:val="uk-UA"/>
        </w:rPr>
      </w:pPr>
    </w:p>
    <w:p>
      <w:pPr>
        <w:pStyle w:val="12"/>
        <w:spacing w:after="0" w:line="240" w:lineRule="auto"/>
        <w:ind w:left="357"/>
        <w:jc w:val="center"/>
        <w:rPr>
          <w:rFonts w:ascii="Times New Roman" w:hAnsi="Times New Roman" w:cs="Times New Roman"/>
          <w:b/>
          <w:sz w:val="6"/>
          <w:szCs w:val="24"/>
          <w:lang w:val="uk-UA"/>
        </w:rPr>
      </w:pPr>
    </w:p>
    <w:p>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pPr>
        <w:pStyle w:val="12"/>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 4447106,69 грн.</w:t>
      </w:r>
    </w:p>
    <w:p>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pPr>
        <w:pStyle w:val="13"/>
        <w:spacing w:after="0" w:line="240" w:lineRule="auto"/>
        <w:jc w:val="center"/>
        <w:rPr>
          <w:rFonts w:ascii="Times New Roman" w:hAnsi="Times New Roman" w:cs="Times New Roman"/>
          <w:b/>
          <w:sz w:val="4"/>
          <w:szCs w:val="28"/>
        </w:rPr>
      </w:pPr>
    </w:p>
    <w:p>
      <w:pPr>
        <w:pStyle w:val="13"/>
        <w:spacing w:after="0" w:line="240" w:lineRule="auto"/>
        <w:rPr>
          <w:rFonts w:ascii="Times New Roman" w:hAnsi="Times New Roman" w:cs="Times New Roman"/>
          <w:b/>
          <w:sz w:val="16"/>
          <w:szCs w:val="28"/>
        </w:rPr>
      </w:pPr>
    </w:p>
    <w:p>
      <w:pPr>
        <w:pStyle w:val="1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pPr>
        <w:pStyle w:val="13"/>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4644" w:type="dxa"/>
          </w:tcPr>
          <w:p>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pPr>
              <w:pStyle w:val="13"/>
              <w:spacing w:after="0" w:line="240" w:lineRule="auto"/>
              <w:contextualSpacing/>
              <w:jc w:val="center"/>
              <w:rPr>
                <w:rFonts w:ascii="Times New Roman" w:hAnsi="Times New Roman" w:cs="Times New Roman"/>
                <w:color w:val="auto"/>
                <w:sz w:val="28"/>
                <w:szCs w:val="28"/>
              </w:rPr>
            </w:pPr>
          </w:p>
        </w:tc>
        <w:tc>
          <w:tcPr>
            <w:tcW w:w="2899" w:type="dxa"/>
          </w:tcPr>
          <w:p>
            <w:pPr>
              <w:pStyle w:val="13"/>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pPr>
              <w:pStyle w:val="13"/>
              <w:spacing w:after="0" w:line="240" w:lineRule="auto"/>
              <w:contextualSpacing/>
              <w:jc w:val="center"/>
              <w:rPr>
                <w:rFonts w:ascii="Times New Roman" w:hAnsi="Times New Roman" w:cs="Times New Roman"/>
                <w:color w:val="FF0000"/>
                <w:sz w:val="28"/>
                <w:szCs w:val="28"/>
                <w:lang w:val="ru-RU"/>
              </w:rPr>
            </w:pPr>
            <w:r>
              <w:rPr>
                <w:rFonts w:ascii="Times New Roman" w:hAnsi="Times New Roman" w:cs="Times New Roman"/>
                <w:color w:val="auto"/>
                <w:sz w:val="28"/>
                <w:szCs w:val="28"/>
              </w:rPr>
              <w:t>4447106,69</w:t>
            </w:r>
          </w:p>
        </w:tc>
        <w:tc>
          <w:tcPr>
            <w:tcW w:w="2899" w:type="dxa"/>
            <w:vAlign w:val="center"/>
          </w:tcPr>
          <w:p>
            <w:pPr>
              <w:pStyle w:val="13"/>
              <w:spacing w:after="0" w:line="240" w:lineRule="auto"/>
              <w:contextualSpacing/>
              <w:jc w:val="center"/>
              <w:rPr>
                <w:rFonts w:ascii="Times New Roman" w:hAnsi="Times New Roman" w:cs="Times New Roman"/>
                <w:color w:val="FF0000"/>
                <w:sz w:val="28"/>
                <w:szCs w:val="28"/>
                <w:lang w:val="ru-RU"/>
              </w:rPr>
            </w:pPr>
            <w:r>
              <w:rPr>
                <w:rFonts w:ascii="Times New Roman" w:hAnsi="Times New Roman" w:cs="Times New Roman"/>
                <w:color w:val="auto"/>
                <w:sz w:val="28"/>
                <w:szCs w:val="28"/>
              </w:rPr>
              <w:t>4447106,69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pPr>
              <w:pStyle w:val="13"/>
              <w:spacing w:after="0" w:line="240" w:lineRule="auto"/>
              <w:contextualSpacing/>
              <w:jc w:val="center"/>
              <w:rPr>
                <w:rFonts w:ascii="Times New Roman" w:hAnsi="Times New Roman" w:cs="Times New Roman"/>
                <w:color w:val="FF0000"/>
                <w:sz w:val="28"/>
                <w:szCs w:val="28"/>
                <w:lang w:val="ru-RU"/>
              </w:rPr>
            </w:pPr>
            <w:r>
              <w:rPr>
                <w:rFonts w:ascii="Times New Roman" w:hAnsi="Times New Roman" w:cs="Times New Roman"/>
                <w:color w:val="auto"/>
                <w:sz w:val="28"/>
                <w:szCs w:val="28"/>
              </w:rPr>
              <w:t>4447106,69</w:t>
            </w:r>
          </w:p>
        </w:tc>
        <w:tc>
          <w:tcPr>
            <w:tcW w:w="2899" w:type="dxa"/>
            <w:vAlign w:val="center"/>
          </w:tcPr>
          <w:p>
            <w:pPr>
              <w:pStyle w:val="13"/>
              <w:spacing w:after="0" w:line="240" w:lineRule="auto"/>
              <w:contextualSpacing/>
              <w:jc w:val="center"/>
              <w:rPr>
                <w:rFonts w:ascii="Times New Roman" w:hAnsi="Times New Roman" w:cs="Times New Roman"/>
                <w:color w:val="FF0000"/>
                <w:sz w:val="28"/>
                <w:szCs w:val="28"/>
                <w:lang w:val="ru-RU"/>
              </w:rPr>
            </w:pPr>
            <w:r>
              <w:rPr>
                <w:rFonts w:ascii="Times New Roman" w:hAnsi="Times New Roman" w:cs="Times New Roman"/>
                <w:color w:val="auto"/>
                <w:sz w:val="28"/>
                <w:szCs w:val="28"/>
              </w:rPr>
              <w:t>4447106,69</w:t>
            </w:r>
          </w:p>
        </w:tc>
      </w:tr>
    </w:tbl>
    <w:p>
      <w:pPr>
        <w:rPr>
          <w:rFonts w:ascii="Times New Roman" w:hAnsi="Times New Roman" w:cs="Times New Roman"/>
          <w:b/>
          <w:color w:val="FF0000"/>
          <w:sz w:val="2"/>
          <w:szCs w:val="28"/>
          <w:lang w:val="uk-UA"/>
        </w:rPr>
      </w:pPr>
    </w:p>
    <w:p>
      <w:pPr>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pPr>
        <w:pStyle w:val="12"/>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w:t>
      </w:r>
    </w:p>
    <w:p>
      <w:pPr>
        <w:pStyle w:val="12"/>
        <w:spacing w:after="0" w:line="240" w:lineRule="auto"/>
        <w:ind w:left="0" w:firstLine="567"/>
        <w:jc w:val="both"/>
        <w:rPr>
          <w:rFonts w:ascii="Times New Roman" w:hAnsi="Times New Roman" w:cs="Times New Roman"/>
          <w:sz w:val="16"/>
          <w:szCs w:val="28"/>
          <w:lang w:val="uk-UA"/>
        </w:rPr>
      </w:pPr>
    </w:p>
    <w:p>
      <w:pPr>
        <w:pStyle w:val="12"/>
        <w:spacing w:after="0" w:line="240" w:lineRule="auto"/>
        <w:ind w:left="0" w:firstLine="567"/>
        <w:jc w:val="both"/>
        <w:rPr>
          <w:rFonts w:ascii="Times New Roman" w:hAnsi="Times New Roman" w:cs="Times New Roman"/>
          <w:sz w:val="12"/>
          <w:szCs w:val="28"/>
          <w:lang w:val="uk-UA"/>
        </w:rPr>
      </w:pPr>
    </w:p>
    <w:p>
      <w:pPr>
        <w:pStyle w:val="12"/>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pPr>
        <w:pStyle w:val="12"/>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pPr>
        <w:pStyle w:val="12"/>
        <w:ind w:left="357"/>
        <w:jc w:val="both"/>
        <w:rPr>
          <w:rFonts w:ascii="Times New Roman" w:hAnsi="Times New Roman" w:cs="Times New Roman"/>
          <w:b/>
          <w:szCs w:val="28"/>
          <w:lang w:val="uk-UA"/>
        </w:rPr>
      </w:pPr>
    </w:p>
    <w:p>
      <w:pPr>
        <w:pStyle w:val="12"/>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pPr>
        <w:pStyle w:val="12"/>
        <w:ind w:left="360"/>
        <w:jc w:val="center"/>
        <w:rPr>
          <w:rFonts w:ascii="Times New Roman" w:hAnsi="Times New Roman" w:cs="Times New Roman"/>
          <w:b/>
          <w:sz w:val="8"/>
          <w:szCs w:val="28"/>
          <w:lang w:val="uk-UA"/>
        </w:rPr>
      </w:pP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pPr>
        <w:pStyle w:val="12"/>
        <w:spacing w:after="0" w:line="240" w:lineRule="auto"/>
        <w:ind w:left="0" w:firstLine="567"/>
        <w:jc w:val="both"/>
        <w:rPr>
          <w:rFonts w:ascii="Times New Roman" w:hAnsi="Times New Roman" w:cs="Times New Roman"/>
          <w:sz w:val="12"/>
          <w:szCs w:val="28"/>
          <w:lang w:val="uk-UA"/>
        </w:rPr>
      </w:pPr>
    </w:p>
    <w:p>
      <w:pPr>
        <w:pStyle w:val="12"/>
        <w:spacing w:after="0" w:line="240" w:lineRule="auto"/>
        <w:ind w:left="0" w:firstLine="567"/>
        <w:jc w:val="both"/>
        <w:rPr>
          <w:rFonts w:ascii="Times New Roman" w:hAnsi="Times New Roman" w:cs="Times New Roman"/>
          <w:sz w:val="12"/>
          <w:szCs w:val="28"/>
          <w:lang w:val="uk-UA"/>
        </w:rPr>
      </w:pPr>
    </w:p>
    <w:p>
      <w:pPr>
        <w:pStyle w:val="12"/>
        <w:spacing w:after="0" w:line="240" w:lineRule="auto"/>
        <w:ind w:left="0" w:firstLine="567"/>
        <w:jc w:val="both"/>
        <w:rPr>
          <w:rFonts w:ascii="Times New Roman" w:hAnsi="Times New Roman" w:cs="Times New Roman"/>
          <w:sz w:val="12"/>
          <w:szCs w:val="28"/>
          <w:lang w:val="uk-UA"/>
        </w:rPr>
      </w:pPr>
    </w:p>
    <w:p>
      <w:pPr>
        <w:spacing w:after="0" w:line="240" w:lineRule="auto"/>
        <w:jc w:val="both"/>
        <w:rPr>
          <w:rFonts w:ascii="Times New Roman" w:hAnsi="Times New Roman" w:cs="Times New Roman"/>
          <w:sz w:val="12"/>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pPr>
        <w:pStyle w:val="12"/>
        <w:spacing w:after="0" w:line="240" w:lineRule="auto"/>
        <w:ind w:left="0" w:firstLine="567"/>
        <w:jc w:val="both"/>
        <w:rPr>
          <w:rFonts w:ascii="Times New Roman" w:hAnsi="Times New Roman" w:cs="Times New Roman"/>
          <w:sz w:val="12"/>
          <w:szCs w:val="28"/>
          <w:lang w:val="uk-UA"/>
        </w:rPr>
      </w:pPr>
    </w:p>
    <w:p>
      <w:pPr>
        <w:pStyle w:val="13"/>
        <w:tabs>
          <w:tab w:val="left" w:pos="0"/>
          <w:tab w:val="left" w:pos="10992"/>
          <w:tab w:val="left" w:pos="11908"/>
          <w:tab w:val="left" w:pos="12824"/>
          <w:tab w:val="left" w:pos="13740"/>
          <w:tab w:val="left" w:pos="14656"/>
        </w:tabs>
        <w:spacing w:after="0" w:line="240" w:lineRule="auto"/>
        <w:jc w:val="center"/>
      </w:pPr>
      <w:r>
        <w:rPr>
          <w:rFonts w:ascii="Times New Roman" w:hAnsi="Times New Roman" w:cs="Times New Roman"/>
          <w:b/>
          <w:sz w:val="28"/>
          <w:szCs w:val="28"/>
        </w:rPr>
        <w:t xml:space="preserve">                                             </w:t>
      </w: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4199C"/>
    <w:rsid w:val="000464A3"/>
    <w:rsid w:val="00054FEC"/>
    <w:rsid w:val="00062542"/>
    <w:rsid w:val="000677EB"/>
    <w:rsid w:val="00067E23"/>
    <w:rsid w:val="000719D0"/>
    <w:rsid w:val="00081272"/>
    <w:rsid w:val="00084BA0"/>
    <w:rsid w:val="0009129E"/>
    <w:rsid w:val="000936CE"/>
    <w:rsid w:val="000A0954"/>
    <w:rsid w:val="000A10A3"/>
    <w:rsid w:val="000A4B2E"/>
    <w:rsid w:val="000B14D0"/>
    <w:rsid w:val="000B1F59"/>
    <w:rsid w:val="000C3EBF"/>
    <w:rsid w:val="000C4FF7"/>
    <w:rsid w:val="000C6C2D"/>
    <w:rsid w:val="000D6459"/>
    <w:rsid w:val="000E2500"/>
    <w:rsid w:val="000E265E"/>
    <w:rsid w:val="000F1F31"/>
    <w:rsid w:val="000F2C20"/>
    <w:rsid w:val="000F4118"/>
    <w:rsid w:val="000F58F1"/>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73170"/>
    <w:rsid w:val="00281CE6"/>
    <w:rsid w:val="002823A8"/>
    <w:rsid w:val="00283441"/>
    <w:rsid w:val="00287898"/>
    <w:rsid w:val="00291A01"/>
    <w:rsid w:val="002A4685"/>
    <w:rsid w:val="002A7EF8"/>
    <w:rsid w:val="002B233E"/>
    <w:rsid w:val="002B52C1"/>
    <w:rsid w:val="002C0254"/>
    <w:rsid w:val="002C2B05"/>
    <w:rsid w:val="002C64E3"/>
    <w:rsid w:val="002C7B89"/>
    <w:rsid w:val="002D2FEB"/>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350BC"/>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20CD"/>
    <w:rsid w:val="00402779"/>
    <w:rsid w:val="004031C2"/>
    <w:rsid w:val="00416FA3"/>
    <w:rsid w:val="00421BCE"/>
    <w:rsid w:val="00421F92"/>
    <w:rsid w:val="00425963"/>
    <w:rsid w:val="00425F9D"/>
    <w:rsid w:val="004276EF"/>
    <w:rsid w:val="00431F83"/>
    <w:rsid w:val="004375F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2CBB"/>
    <w:rsid w:val="005A6462"/>
    <w:rsid w:val="005B105E"/>
    <w:rsid w:val="005B5A83"/>
    <w:rsid w:val="005C4786"/>
    <w:rsid w:val="005C4D57"/>
    <w:rsid w:val="005C59F1"/>
    <w:rsid w:val="005C7E1F"/>
    <w:rsid w:val="005D3BE5"/>
    <w:rsid w:val="005D52F0"/>
    <w:rsid w:val="005D5AD4"/>
    <w:rsid w:val="005E20F1"/>
    <w:rsid w:val="005E287D"/>
    <w:rsid w:val="005E2C96"/>
    <w:rsid w:val="005E35E6"/>
    <w:rsid w:val="005F0D82"/>
    <w:rsid w:val="005F1188"/>
    <w:rsid w:val="005F1D65"/>
    <w:rsid w:val="005F2C2B"/>
    <w:rsid w:val="005F4EB6"/>
    <w:rsid w:val="00602E73"/>
    <w:rsid w:val="006059BB"/>
    <w:rsid w:val="00606685"/>
    <w:rsid w:val="006072A7"/>
    <w:rsid w:val="0061480E"/>
    <w:rsid w:val="00615951"/>
    <w:rsid w:val="006210C3"/>
    <w:rsid w:val="006223E0"/>
    <w:rsid w:val="00625B83"/>
    <w:rsid w:val="0062700B"/>
    <w:rsid w:val="00630B01"/>
    <w:rsid w:val="00631561"/>
    <w:rsid w:val="0063285B"/>
    <w:rsid w:val="006349C8"/>
    <w:rsid w:val="00634C8A"/>
    <w:rsid w:val="006366EE"/>
    <w:rsid w:val="0063767A"/>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4BA4"/>
    <w:rsid w:val="0069700E"/>
    <w:rsid w:val="006A285A"/>
    <w:rsid w:val="006A2ACD"/>
    <w:rsid w:val="006A67D0"/>
    <w:rsid w:val="006B19FA"/>
    <w:rsid w:val="006B2486"/>
    <w:rsid w:val="006B4507"/>
    <w:rsid w:val="006B5BA2"/>
    <w:rsid w:val="006C1E06"/>
    <w:rsid w:val="006C3B10"/>
    <w:rsid w:val="006E19DC"/>
    <w:rsid w:val="006E56DB"/>
    <w:rsid w:val="006F0670"/>
    <w:rsid w:val="006F0A21"/>
    <w:rsid w:val="006F1F06"/>
    <w:rsid w:val="006F57D7"/>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F97"/>
    <w:rsid w:val="007A18EF"/>
    <w:rsid w:val="007A1AFC"/>
    <w:rsid w:val="007A5564"/>
    <w:rsid w:val="007B1609"/>
    <w:rsid w:val="007C0356"/>
    <w:rsid w:val="007C159B"/>
    <w:rsid w:val="007C33F7"/>
    <w:rsid w:val="007C7ADC"/>
    <w:rsid w:val="007D499E"/>
    <w:rsid w:val="007D542B"/>
    <w:rsid w:val="007F39F3"/>
    <w:rsid w:val="007F5BFF"/>
    <w:rsid w:val="007F72AC"/>
    <w:rsid w:val="008041CF"/>
    <w:rsid w:val="00806C86"/>
    <w:rsid w:val="00807C9B"/>
    <w:rsid w:val="00812783"/>
    <w:rsid w:val="00815160"/>
    <w:rsid w:val="00822416"/>
    <w:rsid w:val="00823B94"/>
    <w:rsid w:val="00824B4F"/>
    <w:rsid w:val="00830F72"/>
    <w:rsid w:val="008364E0"/>
    <w:rsid w:val="00840968"/>
    <w:rsid w:val="00842455"/>
    <w:rsid w:val="008435FC"/>
    <w:rsid w:val="0084575A"/>
    <w:rsid w:val="00845D01"/>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30289"/>
    <w:rsid w:val="00A32E5A"/>
    <w:rsid w:val="00A42D0B"/>
    <w:rsid w:val="00A439D5"/>
    <w:rsid w:val="00A4525F"/>
    <w:rsid w:val="00A51DF2"/>
    <w:rsid w:val="00A53532"/>
    <w:rsid w:val="00A53C5E"/>
    <w:rsid w:val="00A60F42"/>
    <w:rsid w:val="00A63D63"/>
    <w:rsid w:val="00A649A4"/>
    <w:rsid w:val="00A66C1A"/>
    <w:rsid w:val="00A672D0"/>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7CEF"/>
    <w:rsid w:val="00B90D24"/>
    <w:rsid w:val="00B91BF8"/>
    <w:rsid w:val="00B9535A"/>
    <w:rsid w:val="00B978BC"/>
    <w:rsid w:val="00BA0087"/>
    <w:rsid w:val="00BA0DD6"/>
    <w:rsid w:val="00BA4DB1"/>
    <w:rsid w:val="00BA68E0"/>
    <w:rsid w:val="00BB2290"/>
    <w:rsid w:val="00BB240E"/>
    <w:rsid w:val="00BC005D"/>
    <w:rsid w:val="00BD0F12"/>
    <w:rsid w:val="00BD547C"/>
    <w:rsid w:val="00BE1482"/>
    <w:rsid w:val="00BE5429"/>
    <w:rsid w:val="00BF18B0"/>
    <w:rsid w:val="00BF7A88"/>
    <w:rsid w:val="00C0422A"/>
    <w:rsid w:val="00C063E2"/>
    <w:rsid w:val="00C07DF6"/>
    <w:rsid w:val="00C10017"/>
    <w:rsid w:val="00C14926"/>
    <w:rsid w:val="00C20AB0"/>
    <w:rsid w:val="00C31726"/>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160DA"/>
    <w:rsid w:val="00E1736A"/>
    <w:rsid w:val="00E20F95"/>
    <w:rsid w:val="00E2147C"/>
    <w:rsid w:val="00E2289E"/>
    <w:rsid w:val="00E236EA"/>
    <w:rsid w:val="00E23B5C"/>
    <w:rsid w:val="00E25798"/>
    <w:rsid w:val="00E25FF8"/>
    <w:rsid w:val="00E2719B"/>
    <w:rsid w:val="00E30A23"/>
    <w:rsid w:val="00E3129F"/>
    <w:rsid w:val="00E32D7A"/>
    <w:rsid w:val="00E361F5"/>
    <w:rsid w:val="00E46CB1"/>
    <w:rsid w:val="00E566A6"/>
    <w:rsid w:val="00E60C27"/>
    <w:rsid w:val="00E644BF"/>
    <w:rsid w:val="00E8025C"/>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F055F"/>
    <w:rsid w:val="00FF280E"/>
    <w:rsid w:val="00FF2CC1"/>
    <w:rsid w:val="020C05AD"/>
    <w:rsid w:val="43B841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1"/>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header"/>
    <w:basedOn w:val="1"/>
    <w:link w:val="17"/>
    <w:unhideWhenUsed/>
    <w:qFormat/>
    <w:uiPriority w:val="99"/>
    <w:pPr>
      <w:tabs>
        <w:tab w:val="center" w:pos="4677"/>
        <w:tab w:val="right" w:pos="9355"/>
      </w:tabs>
      <w:spacing w:after="0" w:line="240" w:lineRule="auto"/>
    </w:pPr>
  </w:style>
  <w:style w:type="paragraph" w:styleId="8">
    <w:name w:val="Body Text"/>
    <w:basedOn w:val="1"/>
    <w:link w:val="16"/>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8"/>
    <w:unhideWhenUsed/>
    <w:uiPriority w:val="99"/>
    <w:pPr>
      <w:tabs>
        <w:tab w:val="center" w:pos="4677"/>
        <w:tab w:val="right" w:pos="9355"/>
      </w:tabs>
      <w:spacing w:after="0" w:line="240" w:lineRule="auto"/>
    </w:pPr>
  </w:style>
  <w:style w:type="table" w:styleId="10">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5 Знак"/>
    <w:basedOn w:val="3"/>
    <w:link w:val="2"/>
    <w:qFormat/>
    <w:uiPriority w:val="0"/>
    <w:rPr>
      <w:rFonts w:ascii="Times New Roman" w:hAnsi="Times New Roman" w:eastAsia="Times New Roman" w:cs="Times New Roman"/>
      <w:b/>
      <w:bCs/>
      <w:sz w:val="28"/>
      <w:szCs w:val="24"/>
    </w:rPr>
  </w:style>
  <w:style w:type="paragraph" w:styleId="12">
    <w:name w:val="List Paragraph"/>
    <w:basedOn w:val="1"/>
    <w:qFormat/>
    <w:uiPriority w:val="99"/>
    <w:pPr>
      <w:ind w:left="720"/>
      <w:contextualSpacing/>
    </w:pPr>
  </w:style>
  <w:style w:type="paragraph" w:customStyle="1" w:styleId="13">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4">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5">
    <w:name w:val="Основной текст Знак"/>
    <w:basedOn w:val="3"/>
    <w:semiHidden/>
    <w:uiPriority w:val="99"/>
  </w:style>
  <w:style w:type="character" w:customStyle="1" w:styleId="16">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7"/>
    <w:qFormat/>
    <w:uiPriority w:val="99"/>
  </w:style>
  <w:style w:type="character" w:customStyle="1" w:styleId="18">
    <w:name w:val="Нижний колонтитул Знак"/>
    <w:basedOn w:val="3"/>
    <w:link w:val="9"/>
    <w:qFormat/>
    <w:uiPriority w:val="99"/>
  </w:style>
  <w:style w:type="character" w:customStyle="1" w:styleId="19">
    <w:name w:val="Текст выноски Знак"/>
    <w:basedOn w:val="3"/>
    <w:link w:val="6"/>
    <w:semiHidden/>
    <w:uiPriority w:val="99"/>
    <w:rPr>
      <w:rFonts w:ascii="Tahoma" w:hAnsi="Tahoma" w:cs="Tahoma"/>
      <w:sz w:val="16"/>
      <w:szCs w:val="16"/>
    </w:rPr>
  </w:style>
  <w:style w:type="paragraph" w:customStyle="1" w:styleId="20">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1">
    <w:name w:val="Обычный3"/>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2">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3">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5FB44-D856-4732-82C7-38384DAB7418}">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6</Pages>
  <Words>1959</Words>
  <Characters>11170</Characters>
  <Lines>93</Lines>
  <Paragraphs>26</Paragraphs>
  <TotalTime>3692</TotalTime>
  <ScaleCrop>false</ScaleCrop>
  <LinksUpToDate>false</LinksUpToDate>
  <CharactersWithSpaces>13103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Admin</cp:lastModifiedBy>
  <cp:lastPrinted>2024-01-19T12:06:00Z</cp:lastPrinted>
  <dcterms:modified xsi:type="dcterms:W3CDTF">2024-02-29T07:46:25Z</dcterms:modified>
  <cp:revision>744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087F473572164720992F61571377B794_13</vt:lpwstr>
  </property>
</Properties>
</file>