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FB" w:rsidRPr="004829FB" w:rsidRDefault="002A62AE" w:rsidP="002A62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29FB">
        <w:rPr>
          <w:rFonts w:ascii="Times New Roman" w:hAnsi="Times New Roman" w:cs="Times New Roman"/>
          <w:sz w:val="28"/>
          <w:szCs w:val="28"/>
          <w:lang w:val="ru-RU"/>
        </w:rPr>
        <w:t>ЧИ Є КОМПЛЕКСНИЙ ДОКУМЕНТ, ПРОГРАМА ЩОДО ЗАЛУЧЕННЯ ГРОМАДЯН ДО ПРОЦЕСІВ ПРИЙНЯТТЯ РІШЕНЬ? ЯКЕ БАЧЕННЯ ТА СПОДІВАННЯ ДЕРЖАВИ ЩОДО ЦЬОГО ПИТАННЯ.</w:t>
      </w:r>
    </w:p>
    <w:p w:rsidR="004829FB" w:rsidRDefault="002A62AE" w:rsidP="002A62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29FB">
        <w:rPr>
          <w:rFonts w:ascii="Times New Roman" w:hAnsi="Times New Roman" w:cs="Times New Roman"/>
          <w:sz w:val="28"/>
          <w:szCs w:val="28"/>
          <w:lang w:val="ru-RU"/>
        </w:rPr>
        <w:t>ІНФОРМУВАННЯ ПРО НАЦІОНАЛЬНУ СТРАТЕГІЮ СПРИЯННЯ РОЗВИТКУ ГРОМАДЯНСЬКОГО СУСПІЛЬСТВА В УКРАЇНІ НА 2021-2026 РОКИ ТА НЕОБХІДНІСТЮ ОЗНАЙОМИТИСЯ З НЕЮ.</w:t>
      </w:r>
    </w:p>
    <w:p w:rsidR="002A62AE" w:rsidRDefault="002A62AE" w:rsidP="002A62AE">
      <w:pPr>
        <w:pStyle w:val="a3"/>
      </w:pPr>
      <w:r>
        <w:rPr>
          <w:noProof/>
        </w:rPr>
        <w:drawing>
          <wp:inline distT="0" distB="0" distL="0" distR="0">
            <wp:extent cx="5915025" cy="3105388"/>
            <wp:effectExtent l="0" t="0" r="0" b="0"/>
            <wp:docPr id="1" name="Рисунок 1" descr="C:\Users\User\AppData\Local\Packages\Microsoft.Windows.Photos_8wekyb3d8bbwe\TempState\ShareServiceTempFolder\post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ost 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39" cy="311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Указом Президента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27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вересня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2021 року № 487/2021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Національну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2021-2026 роки.</w:t>
      </w:r>
    </w:p>
    <w:p w:rsid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2021-2026 роки (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комплексу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взаємопов'язаних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до 2026 року.</w:t>
      </w:r>
    </w:p>
    <w:p w:rsidR="002A62AE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A62A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52515" cy="3230070"/>
            <wp:effectExtent l="0" t="0" r="635" b="8890"/>
            <wp:docPr id="2" name="Рисунок 2" descr="C:\Users\User\Downloads\post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ost 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2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повага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автономії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уникаючи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втручання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сприятливі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прозорі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впроваджувати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владних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зазначеній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ґрунтуватися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підході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жодних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етапах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відповідній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тенденцій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виокремлення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вироблення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варіантів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розв'язання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імплементації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В основу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покладено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бачення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ролі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з державою,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ґрунтується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нормах та стандартах,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закріплених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 таких документах</w:t>
      </w:r>
      <w:proofErr w:type="gram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, як: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Конвенція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про свободу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асоціації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права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№ 87 1948 року;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Конвенція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основоположних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свобод 1950 року;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Конвенція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Об'єднаних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Націй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корупції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Конвенція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про права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Рекомендація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CM/</w:t>
      </w:r>
      <w:proofErr w:type="gram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REC(</w:t>
      </w:r>
      <w:proofErr w:type="gram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2007)14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статусу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неурядових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2007 року;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Конвенція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про доступ до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офіційних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2009 року;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Кодекс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кращих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практик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ухвалений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Конференцією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неурядових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2009 року (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переглянутий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2019 року);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Резолюції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Генеральної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Асамблеї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ООН з прав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A/HRC/RES/24/21 «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законодавстві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сприятливого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» 2013 року, A/HRC/RES/27/31 «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» 2014 року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настанова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ООН «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простору» 2020 року;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Венеціанської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Бюро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і прав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ОБСЄ з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об'єднань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2014 року;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Резолюція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Генеральної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Асамблеї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ООН A/RES/70/1 «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Перетворення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: Порядок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до 2030 року» 2015 року;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ефективній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об'єднань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процесах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Форуму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додатковій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нараді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ОБСЄ з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людського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виміру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2015 року;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Керівні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прийняті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Комітетом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2017 року;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Рекомендація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CM/</w:t>
      </w:r>
      <w:proofErr w:type="spellStart"/>
      <w:proofErr w:type="gram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Rec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2018)11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державам-членам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простору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2018 року;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Рекомендація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CM/</w:t>
      </w:r>
      <w:proofErr w:type="spellStart"/>
      <w:proofErr w:type="gram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Rec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2018)4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державам-членам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місцевому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публічному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2018 року.</w:t>
      </w:r>
    </w:p>
    <w:p w:rsidR="004829FB" w:rsidRPr="004829FB" w:rsidRDefault="004829FB" w:rsidP="004829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зобов'язань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інститутами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Угоді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Союзом,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співтовариством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атомної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їхніми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державами-членами, з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закладені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законах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«Про засади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», «Про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», 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законах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правовий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статус та засади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 законах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об'єднання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», «Про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благодійну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благодійні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», «Про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професійні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спілки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права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гарантії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», «Про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роботодавців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об'єднання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права і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гарантії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», «Про свободу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совісті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релігійні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», «Про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творчі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спілки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», «Про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пов'язані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відображені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Національній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затвердженій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Указом Президента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24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2021 року № 119,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регіонального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2021-2027 роки,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затвердженій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2020 року № 695,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схваленій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розпорядженням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2018 року № 710-р.</w:t>
      </w:r>
    </w:p>
    <w:p w:rsid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2021-2026 роки (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комплексу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взаємопов'язаних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до 2026 року.</w:t>
      </w:r>
    </w:p>
    <w:p w:rsidR="002A62AE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2A62A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52515" cy="3230070"/>
            <wp:effectExtent l="0" t="0" r="635" b="8890"/>
            <wp:docPr id="3" name="Рисунок 3" descr="C:\Users\User\Downloads\post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ost 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2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Метою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сприятливих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налагодження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громадянами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згаданими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інститутами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органами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органами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прав і свобод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задоволення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владних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базується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таких 6 принципах:</w:t>
      </w:r>
    </w:p>
    <w:p w:rsidR="004829FB" w:rsidRPr="004829FB" w:rsidRDefault="004829FB" w:rsidP="004829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самоврядності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поважають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самоорганізацію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участь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вільні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провадженні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винятком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установлених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законом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інтересах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порядку,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прав і свобод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людей;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рівності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раси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кольору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релігійних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переконань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статі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етнічного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сімейного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майнового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стану,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мовних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ознак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інклюзивності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приймаються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відповідними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органами за результатами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потреб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громад,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створюються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рівноправної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вживаються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заходи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перешкод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представлення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тієї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партнерства —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бізнес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позитивних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публічного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блага;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прозорості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підзвітності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відкритою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оприлюднюється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офіційних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вебсайтах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Відповідна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інститутам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міжнародним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організаціям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науковим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установам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експертам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оцінці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відповідної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взаємної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суб'єктів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долучаються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докладають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29FB" w:rsidRPr="004829FB" w:rsidRDefault="004829FB" w:rsidP="004829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документі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стратегічні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напрямки, 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процедур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національному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регіональному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вирішенні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сприятливих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інституційного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Стимулювання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соціально-економічному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сприятливих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міжсекторальної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29FB" w:rsidRPr="004829FB" w:rsidRDefault="002A62AE" w:rsidP="004829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Втілення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посиленню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сектору в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Ознайомитися</w:t>
      </w:r>
      <w:proofErr w:type="spellEnd"/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 xml:space="preserve"> з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окументом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829FB" w:rsidRPr="004829FB">
        <w:rPr>
          <w:rFonts w:ascii="Times New Roman" w:hAnsi="Times New Roman" w:cs="Times New Roman"/>
          <w:sz w:val="28"/>
          <w:szCs w:val="28"/>
          <w:lang w:val="ru-RU"/>
        </w:rPr>
        <w:t>https://zakon.rada.gov.ua/laws/show/487/2021#Text</w:t>
      </w:r>
    </w:p>
    <w:p w:rsidR="00C508DF" w:rsidRPr="004829FB" w:rsidRDefault="00C508DF">
      <w:pPr>
        <w:rPr>
          <w:lang w:val="ru-RU"/>
        </w:rPr>
      </w:pPr>
    </w:p>
    <w:sectPr w:rsidR="00C508DF" w:rsidRPr="004829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FB"/>
    <w:rsid w:val="002A62AE"/>
    <w:rsid w:val="00335479"/>
    <w:rsid w:val="004068D9"/>
    <w:rsid w:val="004829FB"/>
    <w:rsid w:val="004C4150"/>
    <w:rsid w:val="005A2664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A717"/>
  <w15:chartTrackingRefBased/>
  <w15:docId w15:val="{8BAE524E-F053-4A9E-A473-3AC09D61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2024-04-23T08:56:00Z</dcterms:created>
  <dcterms:modified xsi:type="dcterms:W3CDTF">2024-04-23T10:08:00Z</dcterms:modified>
</cp:coreProperties>
</file>