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П</w:t>
      </w:r>
      <w:r>
        <w:rPr>
          <w:rStyle w:val="6"/>
          <w:rFonts w:ascii="Times New Roman" w:hAnsi="Times New Roman" w:cs="Times New Roman"/>
          <w:sz w:val="28"/>
          <w:szCs w:val="28"/>
        </w:rPr>
        <w:t>’</w:t>
      </w:r>
      <w:r>
        <w:rPr>
          <w:rStyle w:val="6"/>
          <w:rFonts w:ascii="Times New Roman" w:hAnsi="Times New Roman" w:cs="Times New Roman"/>
          <w:sz w:val="28"/>
          <w:szCs w:val="28"/>
          <w:lang w:val="uk-UA"/>
        </w:rPr>
        <w:t>ЯТДЕСЯТ СЬОМА</w:t>
      </w:r>
      <w:r>
        <w:rPr>
          <w:rStyle w:val="6"/>
          <w:rFonts w:ascii="Times New Roman" w:hAnsi="Times New Roman" w:cs="Times New Roman"/>
          <w:sz w:val="28"/>
          <w:szCs w:val="28"/>
        </w:rPr>
        <w:t xml:space="preserve"> СЕСІЯ</w:t>
      </w:r>
    </w:p>
    <w:p>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pPr>
        <w:shd w:val="clear" w:color="auto" w:fill="FFFFFF"/>
        <w:spacing w:after="0" w:line="240" w:lineRule="auto"/>
        <w:rPr>
          <w:rFonts w:ascii="Times New Roman" w:hAnsi="Times New Roman" w:cs="Times New Roman"/>
          <w:color w:val="333333"/>
          <w:sz w:val="18"/>
          <w:szCs w:val="28"/>
          <w:lang w:val="uk-UA"/>
        </w:rPr>
      </w:pPr>
    </w:p>
    <w:p>
      <w:pPr>
        <w:spacing w:after="0" w:line="240" w:lineRule="auto"/>
        <w:jc w:val="both"/>
        <w:rPr>
          <w:rFonts w:ascii="Times New Roman" w:hAnsi="Times New Roman" w:cs="Times New Roman"/>
          <w:b/>
          <w:sz w:val="8"/>
          <w:lang w:val="uk-UA"/>
        </w:rPr>
      </w:pPr>
    </w:p>
    <w:p>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03.04.2024</w:t>
      </w:r>
    </w:p>
    <w:p>
      <w:pPr>
        <w:spacing w:after="0" w:line="240" w:lineRule="auto"/>
        <w:jc w:val="both"/>
        <w:rPr>
          <w:sz w:val="18"/>
          <w:lang w:val="uk-UA"/>
        </w:rPr>
      </w:pP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jc w:val="both"/>
        <w:rPr>
          <w:rFonts w:ascii="Times New Roman" w:hAnsi="Times New Roman" w:cs="Times New Roman"/>
          <w:b/>
          <w:sz w:val="20"/>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23.02.2024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0"/>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b/>
          <w:sz w:val="18"/>
          <w:szCs w:val="28"/>
          <w:lang w:val="uk-UA"/>
        </w:rPr>
      </w:pPr>
    </w:p>
    <w:p>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03.04.2024</w:t>
      </w: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sz w:val="8"/>
          <w:szCs w:val="28"/>
          <w:lang w:val="uk-UA" w:eastAsia="ru-RU"/>
        </w:rPr>
      </w:pPr>
    </w:p>
    <w:p>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03.04.2024  №______</w:t>
            </w:r>
          </w:p>
          <w:p>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4574796,69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4574796,69</w:t>
            </w:r>
          </w:p>
        </w:tc>
      </w:tr>
    </w:tbl>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3"/>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pPr>
        <w:spacing w:after="0" w:line="240" w:lineRule="auto"/>
        <w:rPr>
          <w:sz w:val="18"/>
          <w:szCs w:val="28"/>
          <w:lang w:val="uk-UA"/>
        </w:rPr>
      </w:pP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3"/>
        <w:spacing w:after="0" w:line="240" w:lineRule="auto"/>
        <w:ind w:left="357"/>
        <w:jc w:val="center"/>
        <w:rPr>
          <w:rFonts w:ascii="Times New Roman" w:hAnsi="Times New Roman" w:cs="Times New Roman"/>
          <w:b/>
          <w:sz w:val="2"/>
          <w:szCs w:val="28"/>
          <w:lang w:val="uk-UA"/>
        </w:rPr>
      </w:pPr>
    </w:p>
    <w:p>
      <w:pPr>
        <w:pStyle w:val="13"/>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pPr>
        <w:pStyle w:val="1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4574796,69</w:t>
      </w:r>
      <w:r>
        <w:rPr>
          <w:rFonts w:ascii="Times New Roman" w:hAnsi="Times New Roman" w:cs="Times New Roman"/>
          <w:sz w:val="28"/>
          <w:szCs w:val="28"/>
          <w:lang w:val="uk-UA"/>
        </w:rPr>
        <w:t xml:space="preserve"> грн.</w:t>
      </w: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4"/>
        <w:spacing w:after="0" w:line="240" w:lineRule="auto"/>
        <w:jc w:val="center"/>
        <w:rPr>
          <w:rFonts w:ascii="Times New Roman" w:hAnsi="Times New Roman" w:cs="Times New Roman"/>
          <w:b/>
          <w:sz w:val="4"/>
          <w:szCs w:val="28"/>
        </w:rPr>
      </w:pPr>
    </w:p>
    <w:p>
      <w:pPr>
        <w:pStyle w:val="14"/>
        <w:spacing w:after="0" w:line="240" w:lineRule="auto"/>
        <w:rPr>
          <w:rFonts w:ascii="Times New Roman" w:hAnsi="Times New Roman" w:cs="Times New Roman"/>
          <w:b/>
          <w:sz w:val="16"/>
          <w:szCs w:val="28"/>
        </w:rPr>
      </w:pPr>
    </w:p>
    <w:p>
      <w:pPr>
        <w:pStyle w:val="14"/>
        <w:spacing w:after="0" w:line="240" w:lineRule="auto"/>
        <w:jc w:val="center"/>
        <w:rPr>
          <w:rFonts w:ascii="Times New Roman" w:hAnsi="Times New Roman" w:cs="Times New Roman"/>
          <w:b/>
          <w:sz w:val="28"/>
          <w:szCs w:val="28"/>
        </w:rPr>
      </w:pPr>
    </w:p>
    <w:p>
      <w:pPr>
        <w:pStyle w:val="14"/>
        <w:spacing w:after="0" w:line="240" w:lineRule="auto"/>
        <w:rPr>
          <w:rFonts w:ascii="Times New Roman" w:hAnsi="Times New Roman" w:cs="Times New Roman"/>
          <w:b/>
          <w:sz w:val="28"/>
          <w:szCs w:val="28"/>
        </w:rPr>
      </w:pPr>
    </w:p>
    <w:p>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4"/>
              <w:spacing w:after="0" w:line="240" w:lineRule="auto"/>
              <w:contextualSpacing/>
              <w:jc w:val="center"/>
              <w:rPr>
                <w:rFonts w:ascii="Times New Roman" w:hAnsi="Times New Roman" w:cs="Times New Roman"/>
                <w:color w:val="auto"/>
                <w:sz w:val="28"/>
                <w:szCs w:val="28"/>
              </w:rPr>
            </w:pPr>
          </w:p>
        </w:tc>
        <w:tc>
          <w:tcPr>
            <w:tcW w:w="2899" w:type="dxa"/>
          </w:tcPr>
          <w:p>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c>
          <w:tcPr>
            <w:tcW w:w="2899" w:type="dxa"/>
            <w:vAlign w:val="center"/>
          </w:tcPr>
          <w:p>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r>
    </w:tbl>
    <w:p>
      <w:pPr>
        <w:spacing w:after="0" w:line="240" w:lineRule="auto"/>
        <w:jc w:val="center"/>
        <w:rPr>
          <w:rFonts w:ascii="Times New Roman" w:hAnsi="Times New Roman" w:cs="Times New Roman"/>
          <w:b/>
          <w:sz w:val="20"/>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spacing w:after="0" w:line="240" w:lineRule="auto"/>
        <w:jc w:val="center"/>
        <w:rPr>
          <w:rFonts w:ascii="Times New Roman" w:hAnsi="Times New Roman" w:cs="Times New Roman"/>
          <w:b/>
          <w:sz w:val="14"/>
          <w:szCs w:val="28"/>
          <w:lang w:val="uk-UA"/>
        </w:rPr>
      </w:pPr>
    </w:p>
    <w:p>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pPr>
        <w:pStyle w:val="13"/>
        <w:spacing w:after="0" w:line="240" w:lineRule="auto"/>
        <w:ind w:left="0" w:firstLine="567"/>
        <w:jc w:val="both"/>
        <w:rPr>
          <w:rFonts w:ascii="Times New Roman" w:hAnsi="Times New Roman" w:cs="Times New Roman"/>
          <w:sz w:val="10"/>
          <w:szCs w:val="28"/>
          <w:lang w:val="uk-UA"/>
        </w:rPr>
      </w:pPr>
    </w:p>
    <w:p>
      <w:pPr>
        <w:pStyle w:val="13"/>
        <w:spacing w:after="0" w:line="240" w:lineRule="auto"/>
        <w:ind w:left="0" w:firstLine="567"/>
        <w:jc w:val="both"/>
        <w:rPr>
          <w:rFonts w:ascii="Times New Roman" w:hAnsi="Times New Roman" w:cs="Times New Roman"/>
          <w:sz w:val="4"/>
          <w:szCs w:val="28"/>
          <w:lang w:val="uk-UA"/>
        </w:rPr>
      </w:pPr>
    </w:p>
    <w:p>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3"/>
        <w:ind w:left="357"/>
        <w:jc w:val="both"/>
        <w:rPr>
          <w:rFonts w:ascii="Times New Roman" w:hAnsi="Times New Roman" w:cs="Times New Roman"/>
          <w:b/>
          <w:sz w:val="10"/>
          <w:szCs w:val="28"/>
          <w:lang w:val="uk-UA"/>
        </w:rPr>
      </w:pPr>
    </w:p>
    <w:p>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3"/>
        <w:ind w:left="360"/>
        <w:jc w:val="center"/>
        <w:rPr>
          <w:rFonts w:ascii="Times New Roman" w:hAnsi="Times New Roman" w:cs="Times New Roman"/>
          <w:b/>
          <w:sz w:val="8"/>
          <w:szCs w:val="28"/>
          <w:lang w:val="uk-UA"/>
        </w:rPr>
      </w:pP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3"/>
        <w:spacing w:after="0" w:line="240" w:lineRule="auto"/>
        <w:ind w:left="0" w:firstLine="567"/>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pPr>
        <w:pStyle w:val="13"/>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5F0A"/>
    <w:rsid w:val="00460855"/>
    <w:rsid w:val="00462864"/>
    <w:rsid w:val="00462D21"/>
    <w:rsid w:val="00463E77"/>
    <w:rsid w:val="004667E3"/>
    <w:rsid w:val="004768BB"/>
    <w:rsid w:val="00477430"/>
    <w:rsid w:val="004801CA"/>
    <w:rsid w:val="00485E96"/>
    <w:rsid w:val="00494DFC"/>
    <w:rsid w:val="00495062"/>
    <w:rsid w:val="00497150"/>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56C7"/>
    <w:rsid w:val="00833C76"/>
    <w:rsid w:val="00833F86"/>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61411"/>
    <w:rsid w:val="00967208"/>
    <w:rsid w:val="009716DD"/>
    <w:rsid w:val="009862CC"/>
    <w:rsid w:val="009878D3"/>
    <w:rsid w:val="00991E5A"/>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3153"/>
    <w:rsid w:val="00A53532"/>
    <w:rsid w:val="00A60F42"/>
    <w:rsid w:val="00A649A4"/>
    <w:rsid w:val="00A66C1A"/>
    <w:rsid w:val="00A672D0"/>
    <w:rsid w:val="00A721B9"/>
    <w:rsid w:val="00A800F5"/>
    <w:rsid w:val="00A91375"/>
    <w:rsid w:val="00A91B57"/>
    <w:rsid w:val="00A94D98"/>
    <w:rsid w:val="00A97286"/>
    <w:rsid w:val="00AA3BB9"/>
    <w:rsid w:val="00AA56F0"/>
    <w:rsid w:val="00AA651D"/>
    <w:rsid w:val="00AA684B"/>
    <w:rsid w:val="00AB140A"/>
    <w:rsid w:val="00AB48B0"/>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EDC"/>
    <w:rsid w:val="00B46663"/>
    <w:rsid w:val="00B5230F"/>
    <w:rsid w:val="00B52926"/>
    <w:rsid w:val="00B55A3D"/>
    <w:rsid w:val="00B55B47"/>
    <w:rsid w:val="00B56EC3"/>
    <w:rsid w:val="00B57474"/>
    <w:rsid w:val="00B60B09"/>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5EE3"/>
    <w:rsid w:val="00BC005D"/>
    <w:rsid w:val="00BC3799"/>
    <w:rsid w:val="00BD01E7"/>
    <w:rsid w:val="00BD0F12"/>
    <w:rsid w:val="00BD287B"/>
    <w:rsid w:val="00BD347C"/>
    <w:rsid w:val="00BD3568"/>
    <w:rsid w:val="00BD471D"/>
    <w:rsid w:val="00BE1482"/>
    <w:rsid w:val="00BE4E13"/>
    <w:rsid w:val="00BE5429"/>
    <w:rsid w:val="00BF18B0"/>
    <w:rsid w:val="00BF2131"/>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A2A"/>
    <w:rsid w:val="00D00746"/>
    <w:rsid w:val="00D02DF1"/>
    <w:rsid w:val="00D114AC"/>
    <w:rsid w:val="00D11A6B"/>
    <w:rsid w:val="00D13006"/>
    <w:rsid w:val="00D16FD0"/>
    <w:rsid w:val="00D21ED6"/>
    <w:rsid w:val="00D2746B"/>
    <w:rsid w:val="00D318B2"/>
    <w:rsid w:val="00D37386"/>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F1DA6"/>
    <w:rsid w:val="00EF5583"/>
    <w:rsid w:val="00EF5B52"/>
    <w:rsid w:val="00EF6CA7"/>
    <w:rsid w:val="00F00B34"/>
    <w:rsid w:val="00F00C15"/>
    <w:rsid w:val="00F0376B"/>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6264"/>
    <w:rsid w:val="00F76B4F"/>
    <w:rsid w:val="00F83475"/>
    <w:rsid w:val="00F868E0"/>
    <w:rsid w:val="00FA0464"/>
    <w:rsid w:val="00FA610D"/>
    <w:rsid w:val="00FA6ADF"/>
    <w:rsid w:val="00FB3AAB"/>
    <w:rsid w:val="00FB5EF6"/>
    <w:rsid w:val="00FB7199"/>
    <w:rsid w:val="00FC1730"/>
    <w:rsid w:val="00FC1D92"/>
    <w:rsid w:val="00FC6C95"/>
    <w:rsid w:val="00FD0175"/>
    <w:rsid w:val="00FD715B"/>
    <w:rsid w:val="00FE0C58"/>
    <w:rsid w:val="00FE28BF"/>
    <w:rsid w:val="00FF055F"/>
    <w:rsid w:val="00FF221B"/>
    <w:rsid w:val="00FF297A"/>
    <w:rsid w:val="00FF36D2"/>
    <w:rsid w:val="33C32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header"/>
    <w:basedOn w:val="1"/>
    <w:link w:val="18"/>
    <w:unhideWhenUsed/>
    <w:uiPriority w:val="99"/>
    <w:pPr>
      <w:tabs>
        <w:tab w:val="center" w:pos="4677"/>
        <w:tab w:val="right" w:pos="9355"/>
      </w:tabs>
      <w:spacing w:after="0" w:line="240" w:lineRule="auto"/>
    </w:pPr>
  </w:style>
  <w:style w:type="paragraph" w:styleId="9">
    <w:name w:val="Body Text"/>
    <w:basedOn w:val="1"/>
    <w:link w:val="17"/>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uiPriority w:val="99"/>
    <w:pPr>
      <w:tabs>
        <w:tab w:val="center" w:pos="4677"/>
        <w:tab w:val="right" w:pos="9355"/>
      </w:tabs>
      <w:spacing w:after="0" w:line="240" w:lineRule="auto"/>
    </w:p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uiPriority w:val="99"/>
  </w:style>
  <w:style w:type="character" w:customStyle="1" w:styleId="17">
    <w:name w:val="Основной текст Знак1"/>
    <w:link w:val="9"/>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uiPriority w:val="99"/>
  </w:style>
  <w:style w:type="character" w:customStyle="1" w:styleId="19">
    <w:name w:val="Нижний колонтитул Знак"/>
    <w:basedOn w:val="4"/>
    <w:link w:val="10"/>
    <w:uiPriority w:val="99"/>
  </w:style>
  <w:style w:type="character" w:customStyle="1" w:styleId="20">
    <w:name w:val="Текст выноски Знак"/>
    <w:basedOn w:val="4"/>
    <w:link w:val="7"/>
    <w:semiHidden/>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2">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CDEE-9D90-4267-BA5F-7390CD65E653}">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12798</Characters>
  <Lines>106</Lines>
  <Paragraphs>30</Paragraphs>
  <TotalTime>650</TotalTime>
  <ScaleCrop>false</ScaleCrop>
  <LinksUpToDate>false</LinksUpToDate>
  <CharactersWithSpaces>15013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2024-04-01T05:39:00Z</cp:lastPrinted>
  <dcterms:modified xsi:type="dcterms:W3CDTF">2024-04-04T11:02:28Z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0D96922344524F6D8476F33D72142AE4_13</vt:lpwstr>
  </property>
</Properties>
</file>