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EC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B9A30EC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 w14:paraId="6553C791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5A1BED00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7C600558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0AB9F3D6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86</w:t>
      </w:r>
    </w:p>
    <w:p w14:paraId="1ACC1DC1">
      <w:pPr>
        <w:shd w:val="clear" w:color="auto" w:fill="FFFFFF"/>
        <w:jc w:val="center"/>
        <w:rPr>
          <w:sz w:val="28"/>
          <w:szCs w:val="28"/>
        </w:rPr>
      </w:pPr>
    </w:p>
    <w:p w14:paraId="239E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12.03.2025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07344743">
      <w:pPr>
        <w:jc w:val="both"/>
        <w:textAlignment w:val="baseline"/>
        <w:rPr>
          <w:sz w:val="28"/>
          <w:szCs w:val="28"/>
        </w:rPr>
      </w:pPr>
    </w:p>
    <w:p w14:paraId="0BD9ACC4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об’єкта будівництва: «</w:t>
      </w:r>
      <w:bookmarkStart w:id="0" w:name="_Hlk192519035"/>
      <w:r>
        <w:rPr>
          <w:b/>
          <w:sz w:val="28"/>
          <w:szCs w:val="28"/>
        </w:rPr>
        <w:t xml:space="preserve">Реконструкція будівлі гуртожитку під багатоквартирний будинок за адресою: Сумська область, Конотопський район, с. Шевченкове, вул. </w:t>
      </w:r>
      <w:r>
        <w:rPr>
          <w:rFonts w:hint="default"/>
          <w:b/>
          <w:sz w:val="28"/>
          <w:szCs w:val="28"/>
          <w:lang w:val="uk-UA"/>
        </w:rPr>
        <w:t>---------</w:t>
      </w:r>
      <w:r>
        <w:rPr>
          <w:b/>
          <w:sz w:val="28"/>
          <w:szCs w:val="28"/>
        </w:rPr>
        <w:t xml:space="preserve">, буд. </w:t>
      </w:r>
      <w:bookmarkEnd w:id="0"/>
      <w:r>
        <w:rPr>
          <w:rFonts w:hint="default"/>
          <w:b/>
          <w:sz w:val="28"/>
          <w:szCs w:val="28"/>
          <w:lang w:val="uk-UA"/>
        </w:rPr>
        <w:t>--</w:t>
      </w:r>
      <w:r>
        <w:rPr>
          <w:b/>
          <w:sz w:val="28"/>
          <w:szCs w:val="28"/>
          <w:lang w:eastAsia="uk-UA"/>
        </w:rPr>
        <w:t>»</w:t>
      </w:r>
    </w:p>
    <w:p w14:paraId="75EC1642">
      <w:pPr>
        <w:jc w:val="both"/>
        <w:rPr>
          <w:b/>
          <w:bCs/>
          <w:szCs w:val="28"/>
          <w:lang w:eastAsia="uk-UA"/>
        </w:rPr>
      </w:pPr>
    </w:p>
    <w:p w14:paraId="38C58D0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звернення Апарату Попівської сільської ради Конотопського району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</w:t>
      </w:r>
      <w:r>
        <w:t xml:space="preserve"> </w:t>
      </w:r>
      <w:r>
        <w:rPr>
          <w:szCs w:val="28"/>
        </w:rPr>
        <w:t>актом оцінки та прийому-передачі нерухомого майна у комунальну власність Попівській сільській раді Конотопського району Сумської області від 07.03.2025року, що засвідчений приватним нотаріусом Майстренко І.В. 07.03.2025 за номером 279,280, статтею 83 Земельн</w:t>
      </w:r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0DC03DBB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216D3B6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 містобудівні умови та обмеження № 2-М для проектування об’єкта будівництва: «Реконструкція будівлі гуртожитку під багатоквартирний будинок за адресою: Сумська область, Конотопський район, с. Шевченкове, вул. </w:t>
      </w:r>
      <w:r>
        <w:rPr>
          <w:rFonts w:hint="default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, буд. </w:t>
      </w:r>
      <w:r>
        <w:rPr>
          <w:rFonts w:hint="default"/>
          <w:sz w:val="28"/>
          <w:szCs w:val="28"/>
          <w:lang w:val="uk-UA"/>
        </w:rPr>
        <w:t>--</w:t>
      </w:r>
      <w:bookmarkStart w:id="1" w:name="_GoBack"/>
      <w:bookmarkEnd w:id="1"/>
      <w:r>
        <w:rPr>
          <w:sz w:val="28"/>
          <w:szCs w:val="28"/>
        </w:rPr>
        <w:t>»</w:t>
      </w:r>
    </w:p>
    <w:p w14:paraId="425C108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0F34AA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083142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6FA8D3D6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1C93272B"/>
    <w:p w14:paraId="15CED51C"/>
    <w:p w14:paraId="3AD241C7"/>
    <w:p w14:paraId="2F324862"/>
    <w:p w14:paraId="4123D495"/>
    <w:p w14:paraId="370FB051"/>
    <w:p w14:paraId="6FEBEFA9">
      <w:r>
        <w:t>Тетяна МІЩЕНКО</w:t>
      </w:r>
    </w:p>
    <w:p w14:paraId="4956173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9"/>
        </w:rPr>
        <w:t>.</w:t>
      </w:r>
    </w:p>
    <w:sectPr>
      <w:pgSz w:w="11906" w:h="16838"/>
      <w:pgMar w:top="1134" w:right="849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44F74"/>
    <w:rsid w:val="001576F9"/>
    <w:rsid w:val="001602EB"/>
    <w:rsid w:val="00177BE8"/>
    <w:rsid w:val="00187C32"/>
    <w:rsid w:val="001D5725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80A52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445CD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4690"/>
    <w:rsid w:val="006072E9"/>
    <w:rsid w:val="0061281C"/>
    <w:rsid w:val="00613DE9"/>
    <w:rsid w:val="00614FCD"/>
    <w:rsid w:val="00620DB2"/>
    <w:rsid w:val="00627DD6"/>
    <w:rsid w:val="0063012B"/>
    <w:rsid w:val="0063245D"/>
    <w:rsid w:val="0063634E"/>
    <w:rsid w:val="00645386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51FF6"/>
    <w:rsid w:val="00866A0C"/>
    <w:rsid w:val="008674F5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B3C4C"/>
    <w:rsid w:val="009E124B"/>
    <w:rsid w:val="009E1386"/>
    <w:rsid w:val="009F50BA"/>
    <w:rsid w:val="00A13C9D"/>
    <w:rsid w:val="00A21116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3476"/>
    <w:rsid w:val="00BE55D2"/>
    <w:rsid w:val="00BE5952"/>
    <w:rsid w:val="00BE6AA8"/>
    <w:rsid w:val="00C0346D"/>
    <w:rsid w:val="00C21763"/>
    <w:rsid w:val="00C22DC2"/>
    <w:rsid w:val="00C318C8"/>
    <w:rsid w:val="00C36C89"/>
    <w:rsid w:val="00C40D97"/>
    <w:rsid w:val="00C54DB7"/>
    <w:rsid w:val="00C60D27"/>
    <w:rsid w:val="00C749DF"/>
    <w:rsid w:val="00C82852"/>
    <w:rsid w:val="00C97E0D"/>
    <w:rsid w:val="00CA080A"/>
    <w:rsid w:val="00CA39C6"/>
    <w:rsid w:val="00CA48AC"/>
    <w:rsid w:val="00CB25EB"/>
    <w:rsid w:val="00CB39E1"/>
    <w:rsid w:val="00CC4F0D"/>
    <w:rsid w:val="00CE3038"/>
    <w:rsid w:val="00CE591C"/>
    <w:rsid w:val="00D00B2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91E48"/>
    <w:rsid w:val="00E9335D"/>
    <w:rsid w:val="00EA1EE7"/>
    <w:rsid w:val="00EA5851"/>
    <w:rsid w:val="00EB0EBC"/>
    <w:rsid w:val="00EB3F4A"/>
    <w:rsid w:val="00EB6010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963A0"/>
    <w:rsid w:val="00FA7129"/>
    <w:rsid w:val="00FA7C68"/>
    <w:rsid w:val="00FB7461"/>
    <w:rsid w:val="00FD19C2"/>
    <w:rsid w:val="00FD25ED"/>
    <w:rsid w:val="00FE0824"/>
    <w:rsid w:val="00FF2743"/>
    <w:rsid w:val="00FF5BFD"/>
    <w:rsid w:val="00FF6EA2"/>
    <w:rsid w:val="618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7"/>
    <w:semiHidden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fontstyle13"/>
    <w:uiPriority w:val="99"/>
  </w:style>
  <w:style w:type="character" w:customStyle="1" w:styleId="10">
    <w:name w:val="fontstyle11"/>
    <w:qFormat/>
    <w:uiPriority w:val="99"/>
  </w:style>
  <w:style w:type="character" w:customStyle="1" w:styleId="11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1110</Words>
  <Characters>633</Characters>
  <Lines>5</Lines>
  <Paragraphs>3</Paragraphs>
  <TotalTime>1028</TotalTime>
  <ScaleCrop>false</ScaleCrop>
  <LinksUpToDate>false</LinksUpToDate>
  <CharactersWithSpaces>1740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2025-02-28T11:30:00Z</cp:lastPrinted>
  <dcterms:modified xsi:type="dcterms:W3CDTF">2025-03-18T13:12:55Z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6E22992CD22E43A4AA75FDEB4064EE88_13</vt:lpwstr>
  </property>
</Properties>
</file>