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AE4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 </w:t>
      </w:r>
    </w:p>
    <w:p w14:paraId="5FB582E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06A813B9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D0A3681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76AFBCAA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9C5FA5E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89</w:t>
      </w:r>
    </w:p>
    <w:p w14:paraId="1B10ED4C">
      <w:pPr>
        <w:shd w:val="clear" w:color="auto" w:fill="FFFFFF"/>
        <w:jc w:val="center"/>
        <w:rPr>
          <w:sz w:val="28"/>
          <w:szCs w:val="28"/>
        </w:rPr>
      </w:pPr>
    </w:p>
    <w:p w14:paraId="5E2C87E4">
      <w:pPr>
        <w:rPr>
          <w:sz w:val="28"/>
          <w:szCs w:val="28"/>
        </w:rPr>
      </w:pPr>
      <w:r>
        <w:rPr>
          <w:b/>
          <w:sz w:val="28"/>
          <w:szCs w:val="28"/>
        </w:rPr>
        <w:t>12.03.2025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с.Попівка</w:t>
      </w:r>
    </w:p>
    <w:p w14:paraId="10C4997B">
      <w:pPr>
        <w:ind w:firstLine="708"/>
        <w:jc w:val="both"/>
        <w:rPr>
          <w:b/>
          <w:sz w:val="28"/>
          <w:szCs w:val="28"/>
        </w:rPr>
      </w:pPr>
    </w:p>
    <w:p w14:paraId="345C04F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Плану заходів з реалізації Національної стратегії із створення безбар’єрного простору в Україні на період до 2030 року на території Попівської сільської ради Конотопського району Сумської області на 2025-2026 роки</w:t>
      </w:r>
    </w:p>
    <w:p w14:paraId="1F3A5E2C">
      <w:pPr>
        <w:ind w:firstLine="709"/>
        <w:jc w:val="both"/>
        <w:rPr>
          <w:b/>
          <w:sz w:val="28"/>
          <w:szCs w:val="28"/>
        </w:rPr>
      </w:pPr>
      <w:r>
        <w:rPr>
          <w:rFonts w:eastAsia="SimSun"/>
          <w:sz w:val="28"/>
          <w:szCs w:val="28"/>
        </w:rPr>
        <w:t>Відповідно до положень Конвенції про права осіб з інвалідністю, указів Президента України від 03.12.2015 № 678 «Про активізацію роботи щодо забезпечення прав людей з інвалідністю», від 03.12.2019 № 875/2019 «Про підвищення ефективності заходів у сфері прав осіб з інвалідністю», керуючись протокольним дорученням № 11 від 29 січня 2025 року наради з головами державних адміністрацій - начальниками районних військових адміністрацій та головами територіальних громад при голові Сумської обласної державної адміністрації - начальнику обласної військової адміністрації, протоколом від 20.02.2025 № 1 з</w:t>
      </w:r>
      <w:r>
        <w:rPr>
          <w:bCs/>
          <w:sz w:val="28"/>
          <w:szCs w:val="28"/>
        </w:rPr>
        <w:t>асідання  Ради безбар’єрності при виконавчому комітеті  Попівської сільської ради Конотопського району Сумської області,</w:t>
      </w:r>
      <w:r>
        <w:rPr>
          <w:rFonts w:eastAsia="SimSun"/>
          <w:sz w:val="28"/>
          <w:szCs w:val="28"/>
        </w:rPr>
        <w:t xml:space="preserve"> з </w:t>
      </w:r>
      <w:r>
        <w:rPr>
          <w:sz w:val="28"/>
          <w:szCs w:val="28"/>
          <w:shd w:val="clear" w:color="auto" w:fill="FFFFFF"/>
        </w:rPr>
        <w:t xml:space="preserve">метою виконання завдань, визначених Національною стратегією із створення безбар’єрного простору в Україні на період до 2030 року, схваленою розпорядженням кабінету Міністрів України від 14 квітня 2021 р. № 366 та </w:t>
      </w:r>
      <w:r>
        <w:rPr>
          <w:color w:val="000000"/>
          <w:sz w:val="28"/>
          <w:szCs w:val="28"/>
        </w:rPr>
        <w:t xml:space="preserve">реалізації державної політики із створення безперешкодного життєвого середовища для осіб з обмеженими фізичними можливостями та інших маломобільних груп населення </w:t>
      </w:r>
      <w:r>
        <w:rPr>
          <w:sz w:val="28"/>
          <w:szCs w:val="28"/>
          <w:shd w:val="clear" w:color="auto" w:fill="FFFFFF"/>
        </w:rPr>
        <w:t xml:space="preserve">та враховуючи соціальну значимість вирішення проблеми доступу людей з інвалідністю до об’єктів соціальної та інженерно-транспортної інфраструктури, </w:t>
      </w:r>
      <w:r>
        <w:rPr>
          <w:color w:val="000000"/>
          <w:sz w:val="28"/>
          <w:szCs w:val="28"/>
        </w:rPr>
        <w:t>керуючись статтями 34, 40, 52, 59 Закону України “Про місцеве самоврядування в Україні”</w:t>
      </w:r>
    </w:p>
    <w:p w14:paraId="6C7BE0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53093002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Затвердити  План заходів </w:t>
      </w:r>
      <w:r>
        <w:rPr>
          <w:bCs/>
          <w:sz w:val="28"/>
          <w:szCs w:val="28"/>
        </w:rPr>
        <w:t>з реалізації Національної стратегії із створення безбар’єрного простору в Україні на період до 2030 року на території Попівської сільської ради Конотопського району Сумської області на 2025-2026 роки, додається.</w:t>
      </w:r>
    </w:p>
    <w:p w14:paraId="606B37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цього рішення покласти на заступника сільського голови Ірину КЛІГУНОВУ.</w:t>
      </w:r>
    </w:p>
    <w:p w14:paraId="172C697C">
      <w:pPr>
        <w:ind w:firstLine="709"/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0147FBEF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15C64018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>Сільський голова</w:t>
      </w:r>
      <w:r>
        <w:rPr>
          <w:rFonts w:eastAsia="Times New Roman"/>
          <w:bCs/>
          <w:sz w:val="28"/>
          <w:szCs w:val="28"/>
          <w:lang w:eastAsia="uk-UA"/>
        </w:rPr>
        <w:tab/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</w:t>
      </w:r>
      <w:r>
        <w:rPr>
          <w:rFonts w:eastAsia="Times New Roman"/>
          <w:bCs/>
          <w:sz w:val="28"/>
          <w:szCs w:val="28"/>
          <w:lang w:val="ru-RU" w:eastAsia="uk-UA"/>
        </w:rPr>
        <w:t xml:space="preserve">                     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445F3E46">
      <w:pPr>
        <w:jc w:val="both"/>
        <w:textAlignment w:val="baseline"/>
        <w:rPr>
          <w:rFonts w:eastAsia="Times New Roman"/>
          <w:b/>
          <w:bCs/>
          <w:sz w:val="26"/>
          <w:szCs w:val="26"/>
          <w:lang w:eastAsia="uk-UA"/>
        </w:rPr>
      </w:pPr>
    </w:p>
    <w:p w14:paraId="576AC032">
      <w:r>
        <w:t>Тетяна МІЩЕНКО</w:t>
      </w:r>
    </w:p>
    <w:p w14:paraId="18855C49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>Надіслано: до протоколу-1</w:t>
      </w:r>
      <w:r>
        <w:rPr>
          <w:rStyle w:val="9"/>
        </w:rPr>
        <w:t xml:space="preserve">відділу,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-2,  відділу освіти Попівської сільської ради - 1, КЗ «Центр культури, дозвілля та спорту» Попівської сільської ради - 1, КНП «Центр первинної  медико-санітарної допомоги»  Попівської сільської  ради - 1, КЗ “Центр надання соціальних послуг” Попівської сільської ради - 1.</w:t>
      </w:r>
    </w:p>
    <w:p w14:paraId="30D82C89">
      <w:pPr>
        <w:suppressAutoHyphens/>
        <w:jc w:val="both"/>
        <w:rPr>
          <w:color w:val="000000"/>
        </w:rPr>
      </w:pPr>
    </w:p>
    <w:p w14:paraId="6FB4107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Додаток до рішення</w:t>
      </w:r>
    </w:p>
    <w:p w14:paraId="7BE4BE4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виконавчого комітету</w:t>
      </w:r>
    </w:p>
    <w:p w14:paraId="275E07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Попівської сільської </w:t>
      </w:r>
    </w:p>
    <w:p w14:paraId="4C2CF3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ради </w:t>
      </w:r>
    </w:p>
    <w:p w14:paraId="1C4F459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hint="default" w:cs="Times New Roman"/>
          <w:bCs/>
          <w:sz w:val="28"/>
          <w:szCs w:val="28"/>
          <w:lang w:val="uk-UA"/>
        </w:rPr>
        <w:t>89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12.03.2025р.</w:t>
      </w:r>
    </w:p>
    <w:p w14:paraId="733227C1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CE5C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ПЛАН ЗАХОДІВ </w:t>
      </w:r>
    </w:p>
    <w:p w14:paraId="63B60C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реалізації Національної стратегії із створення безбар</w:t>
      </w:r>
      <w:r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єрного простору в Україні</w:t>
      </w:r>
    </w:p>
    <w:p w14:paraId="13D4C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період до 2030 року на території Попівської сільської ради Конотопського району Сусмської області</w:t>
      </w:r>
    </w:p>
    <w:p w14:paraId="6D1D2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2025-2026 роки</w:t>
      </w:r>
    </w:p>
    <w:p w14:paraId="3AD22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9BA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649"/>
        <w:gridCol w:w="3014"/>
        <w:gridCol w:w="1366"/>
        <w:gridCol w:w="1659"/>
        <w:gridCol w:w="2317"/>
        <w:gridCol w:w="2051"/>
      </w:tblGrid>
      <w:tr w14:paraId="42F2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vMerge w:val="restart"/>
          </w:tcPr>
          <w:p w14:paraId="725FC3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649" w:type="dxa"/>
            <w:vMerge w:val="restart"/>
          </w:tcPr>
          <w:p w14:paraId="5DAF8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014" w:type="dxa"/>
            <w:vMerge w:val="restart"/>
          </w:tcPr>
          <w:p w14:paraId="5B4BAC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Очікуваний результат (продукт, послуга)</w:t>
            </w:r>
          </w:p>
        </w:tc>
        <w:tc>
          <w:tcPr>
            <w:tcW w:w="3025" w:type="dxa"/>
            <w:gridSpan w:val="2"/>
          </w:tcPr>
          <w:p w14:paraId="0FD46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2317" w:type="dxa"/>
            <w:vMerge w:val="restart"/>
          </w:tcPr>
          <w:p w14:paraId="73024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2051" w:type="dxa"/>
            <w:vMerge w:val="restart"/>
          </w:tcPr>
          <w:p w14:paraId="00AB8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 фінансування, обсяг</w:t>
            </w:r>
          </w:p>
        </w:tc>
      </w:tr>
      <w:tr w14:paraId="629C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vMerge w:val="continue"/>
          </w:tcPr>
          <w:p w14:paraId="37024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49" w:type="dxa"/>
            <w:vMerge w:val="continue"/>
          </w:tcPr>
          <w:p w14:paraId="603391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  <w:vMerge w:val="continue"/>
          </w:tcPr>
          <w:p w14:paraId="5107F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66" w:type="dxa"/>
          </w:tcPr>
          <w:p w14:paraId="4FBB72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  <w:p w14:paraId="655D0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початку</w:t>
            </w:r>
          </w:p>
        </w:tc>
        <w:tc>
          <w:tcPr>
            <w:tcW w:w="1659" w:type="dxa"/>
          </w:tcPr>
          <w:p w14:paraId="70A74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  <w:p w14:paraId="5E205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завершення</w:t>
            </w:r>
          </w:p>
        </w:tc>
        <w:tc>
          <w:tcPr>
            <w:tcW w:w="2317" w:type="dxa"/>
            <w:vMerge w:val="continue"/>
          </w:tcPr>
          <w:p w14:paraId="033B9E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51" w:type="dxa"/>
            <w:vMerge w:val="continue"/>
          </w:tcPr>
          <w:p w14:paraId="6E162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14:paraId="703B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3" w:type="dxa"/>
            <w:gridSpan w:val="6"/>
          </w:tcPr>
          <w:p w14:paraId="0A747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Напрям 1. Фізична безбар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єрність</w:t>
            </w:r>
          </w:p>
        </w:tc>
        <w:tc>
          <w:tcPr>
            <w:tcW w:w="2051" w:type="dxa"/>
          </w:tcPr>
          <w:p w14:paraId="04E02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14:paraId="0D2A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5EB853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Стратегічна ціль: системи моніторингу і контролю забезпечують застосування норм і стандартів доступності об’єктів фізичного оточення</w:t>
            </w:r>
          </w:p>
        </w:tc>
      </w:tr>
      <w:tr w14:paraId="56F5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6972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14:paraId="7524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2078" w:type="dxa"/>
          </w:tcPr>
          <w:p w14:paraId="3911DC5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Забезпечен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</w:p>
          <w:p w14:paraId="326409A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дієвого механізму моніторингу і оцінки за проведенням адаптації просторів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</w:rPr>
              <w:t>зб</w:t>
            </w:r>
            <w:r>
              <w:rPr>
                <w:sz w:val="24"/>
                <w:szCs w:val="24"/>
                <w:lang w:val="uk-UA"/>
              </w:rPr>
              <w:t>ір</w:t>
            </w:r>
            <w:r>
              <w:rPr>
                <w:sz w:val="24"/>
                <w:szCs w:val="24"/>
              </w:rPr>
              <w:t xml:space="preserve"> і поширення достовірної інформації</w:t>
            </w:r>
            <w:r>
              <w:rPr>
                <w:sz w:val="24"/>
                <w:szCs w:val="24"/>
                <w:lang w:val="uk-UA"/>
              </w:rPr>
              <w:t xml:space="preserve"> про доступність фізичного оточення </w:t>
            </w:r>
          </w:p>
          <w:p w14:paraId="2B65A6A4">
            <w:pPr>
              <w:pStyle w:val="14"/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649" w:type="dxa"/>
          </w:tcPr>
          <w:p w14:paraId="183DBD4C">
            <w:pPr>
              <w:pStyle w:val="14"/>
              <w:tabs>
                <w:tab w:val="left" w:pos="1603"/>
                <w:tab w:val="left" w:pos="2448"/>
              </w:tabs>
              <w:spacing w:line="240" w:lineRule="auto"/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Провести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за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участю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громадських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організацій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моніторинг та оцінку ступеня безбар’єрності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об’єктів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фізичного оточення і послуг для осіб з інвалідністю та інших маломобільних груп населення з урахуванням </w:t>
            </w:r>
            <w:r>
              <w:rPr>
                <w:color w:val="auto"/>
                <w:sz w:val="24"/>
                <w:szCs w:val="24"/>
                <w:lang w:eastAsia="ru-RU" w:bidi="ru-RU"/>
              </w:rPr>
              <w:t xml:space="preserve">гендерного </w:t>
            </w:r>
            <w:r>
              <w:rPr>
                <w:color w:val="auto"/>
                <w:sz w:val="24"/>
                <w:szCs w:val="24"/>
              </w:rPr>
              <w:t>аспекту (відповідно до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537) (щороку)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будівель і приміщень закладів освіти всіх рівнів, об’єктів </w:t>
            </w:r>
            <w:r>
              <w:rPr>
                <w:color w:val="000000"/>
                <w:sz w:val="24"/>
                <w:szCs w:val="24"/>
              </w:rPr>
              <w:t xml:space="preserve"> культурної,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туристичної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та спортивної </w:t>
            </w:r>
            <w:r>
              <w:rPr>
                <w:color w:val="000000"/>
                <w:sz w:val="24"/>
                <w:szCs w:val="24"/>
              </w:rPr>
              <w:t>інфраструктури</w:t>
            </w:r>
            <w:r>
              <w:rPr>
                <w:color w:val="000000"/>
                <w:sz w:val="24"/>
                <w:szCs w:val="24"/>
                <w:lang w:val="uk-UA"/>
              </w:rPr>
              <w:t>, закладів охорони здоров’я, адміністративних приміщень</w:t>
            </w:r>
          </w:p>
        </w:tc>
        <w:tc>
          <w:tcPr>
            <w:tcW w:w="3014" w:type="dxa"/>
          </w:tcPr>
          <w:p w14:paraId="251B310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Оприлюднення</w:t>
            </w:r>
          </w:p>
          <w:p w14:paraId="17F6362E">
            <w:pPr>
              <w:widowControl w:val="0"/>
              <w:spacing w:after="0" w:line="240" w:lineRule="auto"/>
              <w:ind w:right="366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результатів моніторингу на офіційних веб-ресурсах.</w:t>
            </w:r>
          </w:p>
          <w:p w14:paraId="33F35F2E">
            <w:pPr>
              <w:widowControl w:val="0"/>
              <w:spacing w:after="0" w:line="240" w:lineRule="auto"/>
              <w:ind w:right="366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Складання чек-листів та узагальнення інформації</w:t>
            </w:r>
          </w:p>
          <w:p w14:paraId="4BF5646C">
            <w:pPr>
              <w:pStyle w:val="14"/>
              <w:tabs>
                <w:tab w:val="left" w:pos="1781"/>
              </w:tabs>
              <w:spacing w:line="240" w:lineRule="auto"/>
              <w:jc w:val="both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</w:tcPr>
          <w:p w14:paraId="0C1A3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14:paraId="47FA8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  <w:p w14:paraId="3A0117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26F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EAA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2026 року</w:t>
            </w:r>
          </w:p>
          <w:p w14:paraId="3CC9B3C4">
            <w:pPr>
              <w:pStyle w:val="14"/>
              <w:spacing w:line="240" w:lineRule="auto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</w:tcPr>
          <w:p w14:paraId="0EB6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  <w:p w14:paraId="3AFB6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  <w:p w14:paraId="22C97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E1E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1F8C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14:paraId="30BB4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року</w:t>
            </w:r>
          </w:p>
          <w:p w14:paraId="0DDA0395">
            <w:pPr>
              <w:pStyle w:val="14"/>
              <w:spacing w:line="240" w:lineRule="auto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</w:tcPr>
          <w:p w14:paraId="222DB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</w:t>
            </w:r>
          </w:p>
          <w:p w14:paraId="2FE24F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  <w:p w14:paraId="7BB4BBDA">
            <w:pPr>
              <w:pStyle w:val="14"/>
              <w:spacing w:line="24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КНП «Центр ПМСД» Попівської сільської ради</w:t>
            </w:r>
          </w:p>
          <w:p w14:paraId="401E645E">
            <w:pPr>
              <w:pStyle w:val="14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Апарат </w:t>
            </w:r>
            <w:r>
              <w:rPr>
                <w:color w:val="auto"/>
                <w:sz w:val="24"/>
                <w:szCs w:val="24"/>
              </w:rPr>
              <w:t>Попівської сільської ради</w:t>
            </w:r>
          </w:p>
          <w:p w14:paraId="400AF78B">
            <w:pPr>
              <w:pStyle w:val="14"/>
              <w:spacing w:line="240" w:lineRule="auto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</w:tcPr>
          <w:p w14:paraId="79518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254053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</w:p>
        </w:tc>
      </w:tr>
      <w:tr w14:paraId="40B5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291447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Стратегічна ціль: об’єкти фізичного оточення адаптуються відповідно до сучасних стандартів доступності</w:t>
            </w:r>
          </w:p>
        </w:tc>
      </w:tr>
      <w:tr w14:paraId="4110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 w14:paraId="0ECF5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фізичної доступності  до закладів освіти</w:t>
            </w:r>
          </w:p>
        </w:tc>
        <w:tc>
          <w:tcPr>
            <w:tcW w:w="2649" w:type="dxa"/>
          </w:tcPr>
          <w:p w14:paraId="7F5507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Забезпечити безперешкодний доступ до приміщень закладів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освіти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відповідно до норм і стандартів доступності для маломобільних груп населення, у тому числі осіб з інвалідністю</w:t>
            </w:r>
          </w:p>
          <w:p w14:paraId="2741B1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7FA3A3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</w:tcPr>
          <w:p w14:paraId="6AFF08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пандусів, тактильної плитки, поручнів, кнопок виклику, облаштування туалетів для маломобільних груп населення, адаптація вхідних дверей для осіб з інвалідністю, наявність інформаційних табло/піктограм тощо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Опорний заклад освіти "Попівський ЗЗСО І-ІІІ ст."</w:t>
            </w:r>
          </w:p>
          <w:p w14:paraId="03C3A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Юрівський ЗЗСО І-ІІІ ст., Вирівський ЗЗСО І-ІІ ст.)</w:t>
            </w:r>
          </w:p>
        </w:tc>
        <w:tc>
          <w:tcPr>
            <w:tcW w:w="1366" w:type="dxa"/>
          </w:tcPr>
          <w:p w14:paraId="3C5E8A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14:paraId="488D1A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</w:tcPr>
          <w:p w14:paraId="033E5E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6C38B5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</w:p>
        </w:tc>
        <w:tc>
          <w:tcPr>
            <w:tcW w:w="2317" w:type="dxa"/>
          </w:tcPr>
          <w:p w14:paraId="49F81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</w:t>
            </w:r>
          </w:p>
        </w:tc>
        <w:tc>
          <w:tcPr>
            <w:tcW w:w="2051" w:type="dxa"/>
          </w:tcPr>
          <w:p w14:paraId="4190C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та інші джерела </w:t>
            </w:r>
          </w:p>
          <w:p w14:paraId="62523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(200,0 тис. грн)</w:t>
            </w:r>
          </w:p>
        </w:tc>
      </w:tr>
      <w:tr w14:paraId="0D9B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38CDB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фізичної доступності  об’єктів культурної інфраструктури</w:t>
            </w:r>
          </w:p>
        </w:tc>
        <w:tc>
          <w:tcPr>
            <w:tcW w:w="2649" w:type="dxa"/>
            <w:shd w:val="clear" w:color="auto" w:fill="auto"/>
          </w:tcPr>
          <w:p w14:paraId="63087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безперешкодний доступ до приміщень закладів культури відповідно до норм і стандартів доступності для мало мобільних груп населення, у тому числі осіб з інвалідністю</w:t>
            </w:r>
          </w:p>
          <w:p w14:paraId="499FA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2A8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4" w:type="dxa"/>
            <w:shd w:val="clear" w:color="auto" w:fill="auto"/>
          </w:tcPr>
          <w:p w14:paraId="7DA1C9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пандусів, тактильної плитки, поручнів, адаптація вхідних дверей для осіб з інвалідністю, наявність інформаційних табло/піктограм тощо</w:t>
            </w:r>
          </w:p>
          <w:p w14:paraId="6A69A2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5B70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Шевченківський сільський клуб-філія,</w:t>
            </w:r>
          </w:p>
          <w:p w14:paraId="26418C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Кузьківський СБК-філія,</w:t>
            </w:r>
          </w:p>
          <w:p w14:paraId="4D847E3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Попівський СБК-філія,</w:t>
            </w:r>
          </w:p>
          <w:p w14:paraId="46F71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Юрівський СБК-філія</w:t>
            </w:r>
          </w:p>
        </w:tc>
        <w:tc>
          <w:tcPr>
            <w:tcW w:w="1366" w:type="dxa"/>
            <w:shd w:val="clear" w:color="auto" w:fill="auto"/>
          </w:tcPr>
          <w:p w14:paraId="120992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2025 року</w:t>
            </w:r>
          </w:p>
        </w:tc>
        <w:tc>
          <w:tcPr>
            <w:tcW w:w="1659" w:type="dxa"/>
            <w:shd w:val="clear" w:color="auto" w:fill="auto"/>
          </w:tcPr>
          <w:p w14:paraId="139C3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63B40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</w:p>
        </w:tc>
        <w:tc>
          <w:tcPr>
            <w:tcW w:w="2317" w:type="dxa"/>
            <w:shd w:val="clear" w:color="auto" w:fill="auto"/>
          </w:tcPr>
          <w:p w14:paraId="7CB2E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2051" w:type="dxa"/>
            <w:shd w:val="clear" w:color="auto" w:fill="auto"/>
          </w:tcPr>
          <w:p w14:paraId="3F278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14:paraId="62695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A6A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100 000</w:t>
            </w:r>
          </w:p>
          <w:p w14:paraId="27EE6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F32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джерела </w:t>
            </w:r>
          </w:p>
          <w:p w14:paraId="2C5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50 000</w:t>
            </w:r>
          </w:p>
        </w:tc>
      </w:tr>
      <w:tr w14:paraId="4516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56CA23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фізичної доступності адміністративних будівель</w:t>
            </w:r>
          </w:p>
        </w:tc>
        <w:tc>
          <w:tcPr>
            <w:tcW w:w="2649" w:type="dxa"/>
            <w:shd w:val="clear" w:color="auto" w:fill="auto"/>
          </w:tcPr>
          <w:p w14:paraId="50D805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абезпечити безперешкодний доступ до приміщень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 адміністративних будівель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відповідно до норм і стандартів доступності для маломобільних груп населення, у тому числі осіб з інвалідністю</w:t>
            </w:r>
          </w:p>
          <w:p w14:paraId="4A885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14" w:type="dxa"/>
            <w:shd w:val="clear" w:color="auto" w:fill="auto"/>
          </w:tcPr>
          <w:p w14:paraId="35168A12">
            <w:pPr>
              <w:spacing w:after="0" w:line="240" w:lineRule="auto"/>
              <w:jc w:val="both"/>
              <w:rPr>
                <w:rStyle w:val="15"/>
                <w:rFonts w:cs="Times New Roman"/>
                <w:sz w:val="24"/>
                <w:szCs w:val="24"/>
                <w:lang w:val="uk-UA"/>
              </w:rPr>
            </w:pPr>
            <w:r>
              <w:rPr>
                <w:rStyle w:val="15"/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будівельних/ремонтних робіт</w:t>
            </w:r>
            <w:r>
              <w:rPr>
                <w:rStyle w:val="15"/>
                <w:rFonts w:cs="Times New Roman"/>
                <w:sz w:val="24"/>
                <w:szCs w:val="24"/>
                <w:lang w:val="uk-UA"/>
              </w:rPr>
              <w:t xml:space="preserve"> з улаштування ганку адміністративної будівлі в с. Вирівка тактильною плиткою, встановлення кнопки виклику, облаштування гігієнічної кімнати (санвузла) адаптованих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маломобільних груп населення</w:t>
            </w:r>
          </w:p>
        </w:tc>
        <w:tc>
          <w:tcPr>
            <w:tcW w:w="1366" w:type="dxa"/>
            <w:shd w:val="clear" w:color="auto" w:fill="auto"/>
          </w:tcPr>
          <w:p w14:paraId="11264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2025 року</w:t>
            </w:r>
          </w:p>
        </w:tc>
        <w:tc>
          <w:tcPr>
            <w:tcW w:w="1659" w:type="dxa"/>
            <w:shd w:val="clear" w:color="auto" w:fill="auto"/>
          </w:tcPr>
          <w:p w14:paraId="48E58A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2DCB51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</w:t>
            </w:r>
          </w:p>
        </w:tc>
        <w:tc>
          <w:tcPr>
            <w:tcW w:w="2317" w:type="dxa"/>
            <w:shd w:val="clear" w:color="auto" w:fill="auto"/>
          </w:tcPr>
          <w:p w14:paraId="1A458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Апарат Попівської сільської ради Конотопського району Сумської області</w:t>
            </w:r>
          </w:p>
        </w:tc>
        <w:tc>
          <w:tcPr>
            <w:tcW w:w="2051" w:type="dxa"/>
            <w:shd w:val="clear" w:color="auto" w:fill="auto"/>
          </w:tcPr>
          <w:p w14:paraId="26FDB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14:paraId="7F1E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7ADC6B20">
            <w:pPr>
              <w:pStyle w:val="16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Влаштування асфальтованого покриття підїзду до вхідної групи будівель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амбулаторії </w:t>
            </w:r>
          </w:p>
        </w:tc>
        <w:tc>
          <w:tcPr>
            <w:tcW w:w="2649" w:type="dxa"/>
            <w:shd w:val="clear" w:color="auto" w:fill="auto"/>
          </w:tcPr>
          <w:p w14:paraId="58AAA927">
            <w:pPr>
              <w:pStyle w:val="16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Забезпечити безперешкодне пересування інвалідів–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візочників територією медичного закладу.</w:t>
            </w:r>
          </w:p>
        </w:tc>
        <w:tc>
          <w:tcPr>
            <w:tcW w:w="3014" w:type="dxa"/>
            <w:shd w:val="clear" w:color="auto" w:fill="auto"/>
          </w:tcPr>
          <w:p w14:paraId="23B82810">
            <w:pPr>
              <w:pStyle w:val="16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</w:t>
            </w:r>
            <w:r>
              <w:rPr>
                <w:color w:val="auto"/>
                <w:sz w:val="24"/>
                <w:szCs w:val="24"/>
              </w:rPr>
              <w:t xml:space="preserve">лаштування дорожнього покриття </w:t>
            </w:r>
            <w:r>
              <w:rPr>
                <w:color w:val="auto"/>
                <w:sz w:val="24"/>
                <w:szCs w:val="24"/>
                <w:lang w:val="uk-UA"/>
              </w:rPr>
              <w:t>для</w:t>
            </w:r>
            <w:r>
              <w:rPr>
                <w:color w:val="auto"/>
                <w:sz w:val="24"/>
                <w:szCs w:val="24"/>
              </w:rPr>
              <w:t xml:space="preserve">  вхідної групи будівель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амбулаторії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>В</w:t>
            </w:r>
            <w:r>
              <w:rPr>
                <w:color w:val="auto"/>
                <w:sz w:val="24"/>
                <w:szCs w:val="24"/>
              </w:rPr>
              <w:t>ирівська АЗПСМ</w:t>
            </w:r>
          </w:p>
          <w:p w14:paraId="2D59124D">
            <w:pPr>
              <w:pStyle w:val="16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</w:tcPr>
          <w:p w14:paraId="0874EAAF">
            <w:pPr>
              <w:pStyle w:val="14"/>
              <w:spacing w:after="2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Травень 2025 року</w:t>
            </w:r>
          </w:p>
          <w:p w14:paraId="02C99E0D">
            <w:pPr>
              <w:pStyle w:val="16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shd w:val="clear" w:color="auto" w:fill="auto"/>
          </w:tcPr>
          <w:p w14:paraId="4A42CE25">
            <w:pPr>
              <w:pStyle w:val="14"/>
              <w:spacing w:after="2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Жовтень 2026 року</w:t>
            </w:r>
          </w:p>
          <w:p w14:paraId="6DBE3FDE">
            <w:pPr>
              <w:pStyle w:val="16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1E452AE0">
            <w:pPr>
              <w:pStyle w:val="14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КНП «Центр ПМСД» Попівської сільської ради</w:t>
            </w:r>
          </w:p>
        </w:tc>
        <w:tc>
          <w:tcPr>
            <w:tcW w:w="2051" w:type="dxa"/>
            <w:shd w:val="clear" w:color="auto" w:fill="auto"/>
          </w:tcPr>
          <w:p w14:paraId="472A23B2">
            <w:pPr>
              <w:pStyle w:val="14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 результатом ПКД (КД)</w:t>
            </w:r>
          </w:p>
        </w:tc>
      </w:tr>
      <w:tr w14:paraId="25AB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078" w:type="dxa"/>
            <w:shd w:val="clear" w:color="auto" w:fill="auto"/>
          </w:tcPr>
          <w:p w14:paraId="76B95C6E">
            <w:pPr>
              <w:pStyle w:val="16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Забезпечення фізичної доступності до закладів торгівлі</w:t>
            </w:r>
          </w:p>
        </w:tc>
        <w:tc>
          <w:tcPr>
            <w:tcW w:w="2649" w:type="dxa"/>
            <w:shd w:val="clear" w:color="auto" w:fill="auto"/>
          </w:tcPr>
          <w:p w14:paraId="594BD736">
            <w:pPr>
              <w:spacing w:after="0" w:line="240" w:lineRule="auto"/>
              <w:jc w:val="both"/>
              <w:rPr>
                <w:rStyle w:val="15"/>
                <w:rFonts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безперешкодний доступ до приміщень закладів 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торгівлі відповідно до норм і стандартів доступності для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маломобільних груп населення, у тому числі осіб з інвалідністю</w:t>
            </w:r>
          </w:p>
        </w:tc>
        <w:tc>
          <w:tcPr>
            <w:tcW w:w="3014" w:type="dxa"/>
            <w:shd w:val="clear" w:color="auto" w:fill="auto"/>
          </w:tcPr>
          <w:p w14:paraId="1507E223">
            <w:pPr>
              <w:pStyle w:val="16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Встановлення пандусів, поручнів (с. Юрівка, вул.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--------</w:t>
            </w:r>
            <w:bookmarkStart w:id="0" w:name="_GoBack"/>
            <w:bookmarkEnd w:id="0"/>
            <w:r>
              <w:rPr>
                <w:color w:val="auto"/>
                <w:sz w:val="24"/>
                <w:szCs w:val="24"/>
                <w:lang w:val="uk-UA"/>
              </w:rPr>
              <w:t xml:space="preserve">, 1, ФОП Решетнякова В.М.; с.Попівка, вул. 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----------</w:t>
            </w:r>
            <w:r>
              <w:rPr>
                <w:color w:val="auto"/>
                <w:sz w:val="24"/>
                <w:szCs w:val="24"/>
                <w:lang w:val="uk-UA"/>
              </w:rPr>
              <w:t>, ФОП  іванова М.Р.)</w:t>
            </w:r>
          </w:p>
        </w:tc>
        <w:tc>
          <w:tcPr>
            <w:tcW w:w="1366" w:type="dxa"/>
            <w:shd w:val="clear" w:color="auto" w:fill="auto"/>
          </w:tcPr>
          <w:p w14:paraId="62422E51">
            <w:pPr>
              <w:pStyle w:val="16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Травень 2025 року</w:t>
            </w:r>
          </w:p>
        </w:tc>
        <w:tc>
          <w:tcPr>
            <w:tcW w:w="1659" w:type="dxa"/>
            <w:shd w:val="clear" w:color="auto" w:fill="auto"/>
          </w:tcPr>
          <w:p w14:paraId="3B5FB4D7">
            <w:pPr>
              <w:pStyle w:val="14"/>
              <w:spacing w:after="2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Жовтень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       2</w:t>
            </w:r>
            <w:r>
              <w:rPr>
                <w:color w:val="auto"/>
                <w:sz w:val="24"/>
                <w:szCs w:val="24"/>
              </w:rPr>
              <w:t>026 року</w:t>
            </w:r>
          </w:p>
          <w:p w14:paraId="69EE835E">
            <w:pPr>
              <w:pStyle w:val="16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  <w:shd w:val="clear" w:color="auto" w:fill="auto"/>
          </w:tcPr>
          <w:p w14:paraId="576DE085">
            <w:pPr>
              <w:pStyle w:val="14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Приватні підприємці </w:t>
            </w:r>
          </w:p>
          <w:p w14:paraId="6D916E4C">
            <w:pPr>
              <w:pStyle w:val="14"/>
              <w:rPr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14:paraId="467A6F5C">
            <w:pPr>
              <w:pStyle w:val="14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Інші джерела </w:t>
            </w:r>
          </w:p>
          <w:p w14:paraId="4CB54044">
            <w:pPr>
              <w:pStyle w:val="14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100,00 тис.грн.</w:t>
            </w:r>
          </w:p>
        </w:tc>
      </w:tr>
      <w:tr w14:paraId="0E73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0B3AE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Напрям 2. Інформаційна безбар’єрність</w:t>
            </w:r>
          </w:p>
        </w:tc>
      </w:tr>
      <w:tr w14:paraId="5662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4E1332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Стратегічна ціль: Публічна інформація субʼєктів владних повноважень є доступною для кожного у різних форматах. Кожен має рівний доступ до інформації, яку транслюють телеорганізації та яка необхідна для участі у культурному житті, проведенні дозвілля і відпочинку та занять спортом</w:t>
            </w:r>
          </w:p>
          <w:p w14:paraId="3C136E3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14:paraId="06A0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 w14:paraId="5B87FF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Забезпечен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доступн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ості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інформаційних матеріалів для людей з різними комунікативними порушеннями</w:t>
            </w:r>
          </w:p>
        </w:tc>
        <w:tc>
          <w:tcPr>
            <w:tcW w:w="2649" w:type="dxa"/>
          </w:tcPr>
          <w:p w14:paraId="6C9EC6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Підвищити рівень поінформованості батьків і дітей про мінну небезпеку і правила поведінки на прифронтових і деокупованих територіях</w:t>
            </w:r>
          </w:p>
        </w:tc>
        <w:tc>
          <w:tcPr>
            <w:tcW w:w="3014" w:type="dxa"/>
          </w:tcPr>
          <w:p w14:paraId="3A6EC8F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Підвищення рівня безпечності та проінформованості дітей та батьків щодо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мінн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небезпек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і правил поведінки на прифронтових і деокупованих територіях</w:t>
            </w:r>
          </w:p>
        </w:tc>
        <w:tc>
          <w:tcPr>
            <w:tcW w:w="1366" w:type="dxa"/>
          </w:tcPr>
          <w:p w14:paraId="07B0F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14:paraId="446AE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</w:tcPr>
          <w:p w14:paraId="2361E1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2025 року </w:t>
            </w:r>
          </w:p>
        </w:tc>
        <w:tc>
          <w:tcPr>
            <w:tcW w:w="2317" w:type="dxa"/>
          </w:tcPr>
          <w:p w14:paraId="15DD3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</w:t>
            </w:r>
          </w:p>
        </w:tc>
        <w:tc>
          <w:tcPr>
            <w:tcW w:w="2051" w:type="dxa"/>
          </w:tcPr>
          <w:p w14:paraId="39EE6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</w:p>
        </w:tc>
      </w:tr>
      <w:tr w14:paraId="681A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5C930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інформаційно-просвітницьких заходів з питань створення безбар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єрного простору</w:t>
            </w:r>
          </w:p>
        </w:tc>
        <w:tc>
          <w:tcPr>
            <w:tcW w:w="2649" w:type="dxa"/>
            <w:shd w:val="clear" w:color="auto" w:fill="auto"/>
          </w:tcPr>
          <w:p w14:paraId="4321C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цикл тренінгів, вебінарів для працівників закладів культури громади щодо політики безбар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єрності</w:t>
            </w:r>
          </w:p>
        </w:tc>
        <w:tc>
          <w:tcPr>
            <w:tcW w:w="3014" w:type="dxa"/>
            <w:shd w:val="clear" w:color="auto" w:fill="auto"/>
          </w:tcPr>
          <w:p w14:paraId="3445A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тренінгів підвищення рівня знань з питань взаємодії з різними категоріями людей, у тому числі маломобільних груп населення з залученням фахівців КЗ ІРЦ Попівської сільської ради</w:t>
            </w:r>
          </w:p>
        </w:tc>
        <w:tc>
          <w:tcPr>
            <w:tcW w:w="1366" w:type="dxa"/>
            <w:shd w:val="clear" w:color="auto" w:fill="auto"/>
          </w:tcPr>
          <w:p w14:paraId="4EAFA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  <w:p w14:paraId="15F97A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  <w:shd w:val="clear" w:color="auto" w:fill="auto"/>
          </w:tcPr>
          <w:p w14:paraId="7A5F03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2026 року</w:t>
            </w:r>
          </w:p>
        </w:tc>
        <w:tc>
          <w:tcPr>
            <w:tcW w:w="2317" w:type="dxa"/>
            <w:shd w:val="clear" w:color="auto" w:fill="auto"/>
          </w:tcPr>
          <w:p w14:paraId="38DC44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2051" w:type="dxa"/>
            <w:shd w:val="clear" w:color="auto" w:fill="auto"/>
          </w:tcPr>
          <w:p w14:paraId="7530D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01FE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30B71561">
            <w:pPr>
              <w:pStyle w:val="1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Підвищення інформаційної обізнаності ветеранів та членів їх сімей щодо забезпечення їхніх прав</w:t>
            </w:r>
          </w:p>
        </w:tc>
        <w:tc>
          <w:tcPr>
            <w:tcW w:w="2649" w:type="dxa"/>
            <w:shd w:val="clear" w:color="auto" w:fill="auto"/>
          </w:tcPr>
          <w:p w14:paraId="067406E9">
            <w:pPr>
              <w:pStyle w:val="14"/>
              <w:tabs>
                <w:tab w:val="left" w:pos="2170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Р</w:t>
            </w:r>
            <w:r>
              <w:rPr>
                <w:color w:val="auto"/>
                <w:sz w:val="24"/>
                <w:szCs w:val="24"/>
              </w:rPr>
              <w:t>озмістити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соціальну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рекламу в медичних закладах, тощо.</w:t>
            </w:r>
            <w:r>
              <w:rPr>
                <w:color w:val="auto"/>
                <w:sz w:val="24"/>
                <w:szCs w:val="24"/>
              </w:rPr>
              <w:tab/>
            </w:r>
          </w:p>
          <w:p w14:paraId="5EEAFA3F">
            <w:pPr>
              <w:pStyle w:val="14"/>
              <w:rPr>
                <w:color w:val="auto"/>
                <w:sz w:val="24"/>
                <w:szCs w:val="24"/>
              </w:rPr>
            </w:pPr>
          </w:p>
        </w:tc>
        <w:tc>
          <w:tcPr>
            <w:tcW w:w="3014" w:type="dxa"/>
            <w:shd w:val="clear" w:color="auto" w:fill="auto"/>
          </w:tcPr>
          <w:p w14:paraId="62C21DA5">
            <w:pPr>
              <w:pStyle w:val="14"/>
              <w:tabs>
                <w:tab w:val="left" w:pos="2074"/>
              </w:tabs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Виготовлено листівки та розміщено на стендах у  закладах.</w:t>
            </w:r>
          </w:p>
        </w:tc>
        <w:tc>
          <w:tcPr>
            <w:tcW w:w="1366" w:type="dxa"/>
            <w:shd w:val="clear" w:color="auto" w:fill="auto"/>
          </w:tcPr>
          <w:p w14:paraId="01E36BA6">
            <w:pPr>
              <w:pStyle w:val="14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Вересень 2025 року</w:t>
            </w:r>
          </w:p>
        </w:tc>
        <w:tc>
          <w:tcPr>
            <w:tcW w:w="1659" w:type="dxa"/>
            <w:shd w:val="clear" w:color="auto" w:fill="auto"/>
          </w:tcPr>
          <w:p w14:paraId="61A590E0">
            <w:pPr>
              <w:pStyle w:val="14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Грудень 2026 року</w:t>
            </w:r>
          </w:p>
        </w:tc>
        <w:tc>
          <w:tcPr>
            <w:tcW w:w="2317" w:type="dxa"/>
            <w:shd w:val="clear" w:color="auto" w:fill="auto"/>
          </w:tcPr>
          <w:p w14:paraId="1AA5A360">
            <w:pPr>
              <w:pStyle w:val="14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КНП «Центр ПМСД» Попівської сільської ради, Апарат Попівської сільської ради,  КЗ«Центр культури, дозвілля та спорту» Попівської сільської ради</w:t>
            </w:r>
          </w:p>
        </w:tc>
        <w:tc>
          <w:tcPr>
            <w:tcW w:w="2051" w:type="dxa"/>
            <w:shd w:val="clear" w:color="auto" w:fill="auto"/>
          </w:tcPr>
          <w:p w14:paraId="24BADE19">
            <w:pPr>
              <w:pStyle w:val="14"/>
              <w:ind w:left="291" w:hanging="29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Місцевий бюджет </w:t>
            </w:r>
          </w:p>
          <w:p w14:paraId="24B396C5">
            <w:pPr>
              <w:pStyle w:val="14"/>
              <w:ind w:left="291" w:hanging="29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1000</w:t>
            </w:r>
          </w:p>
          <w:p w14:paraId="38D16133">
            <w:pPr>
              <w:pStyle w:val="14"/>
              <w:ind w:left="291" w:hanging="291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14:paraId="4C8B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 w14:paraId="516074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кампан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«Україна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бар’єрів”</w:t>
            </w:r>
          </w:p>
        </w:tc>
        <w:tc>
          <w:tcPr>
            <w:tcW w:w="2649" w:type="dxa"/>
          </w:tcPr>
          <w:p w14:paraId="5F94381F">
            <w:pPr>
              <w:pStyle w:val="14"/>
              <w:tabs>
                <w:tab w:val="left" w:pos="1694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Провести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інформаційно-просвітницьку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кампанію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«Україна без бар’єрів»</w:t>
            </w:r>
          </w:p>
        </w:tc>
        <w:tc>
          <w:tcPr>
            <w:tcW w:w="3014" w:type="dxa"/>
          </w:tcPr>
          <w:p w14:paraId="4E2989A1">
            <w:pPr>
              <w:pStyle w:val="14"/>
              <w:tabs>
                <w:tab w:val="left" w:pos="2683"/>
              </w:tabs>
              <w:jc w:val="both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Модифікування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та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проведення інформаційних кампаній, опублікування інформації про заходи щодо впровадження державної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політики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безбар’єрного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доступу у всіх сферах суспільно-політичного життя на офіційних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вебресурсах відповідальними виконавцями</w:t>
            </w:r>
          </w:p>
        </w:tc>
        <w:tc>
          <w:tcPr>
            <w:tcW w:w="1366" w:type="dxa"/>
            <w:shd w:val="clear" w:color="auto" w:fill="auto"/>
          </w:tcPr>
          <w:p w14:paraId="72B9D730">
            <w:pPr>
              <w:pStyle w:val="14"/>
              <w:spacing w:after="26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</w:t>
            </w:r>
            <w:r>
              <w:rPr>
                <w:color w:val="auto"/>
                <w:sz w:val="24"/>
                <w:szCs w:val="24"/>
              </w:rPr>
              <w:t>равень 2025 року</w:t>
            </w:r>
          </w:p>
          <w:p w14:paraId="2A4B2265">
            <w:pPr>
              <w:pStyle w:val="14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Січень 2026 року</w:t>
            </w:r>
          </w:p>
        </w:tc>
        <w:tc>
          <w:tcPr>
            <w:tcW w:w="1659" w:type="dxa"/>
            <w:shd w:val="clear" w:color="auto" w:fill="auto"/>
          </w:tcPr>
          <w:p w14:paraId="23DCFA58">
            <w:pPr>
              <w:pStyle w:val="14"/>
              <w:spacing w:after="260" w:line="233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Грудень 2025 року</w:t>
            </w:r>
          </w:p>
          <w:p w14:paraId="5CE05A85">
            <w:pPr>
              <w:pStyle w:val="14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Грудень 2026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року</w:t>
            </w:r>
          </w:p>
        </w:tc>
        <w:tc>
          <w:tcPr>
            <w:tcW w:w="2317" w:type="dxa"/>
            <w:shd w:val="clear" w:color="auto" w:fill="auto"/>
          </w:tcPr>
          <w:p w14:paraId="6F47E62D">
            <w:pPr>
              <w:pStyle w:val="14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КНП «Центр ПМСД» Попівської сільської ради, Апарат Попівської сільської ради,  КЗ«Центр культури, дозвілля та спорту» Попівської сільської ради, Відділ освіти Попівської сільської ради</w:t>
            </w:r>
          </w:p>
        </w:tc>
        <w:tc>
          <w:tcPr>
            <w:tcW w:w="2051" w:type="dxa"/>
          </w:tcPr>
          <w:p w14:paraId="2A87A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14:paraId="2403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50035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Напрям 3.  Цифрова безбар’єрність</w:t>
            </w:r>
          </w:p>
        </w:tc>
      </w:tr>
      <w:tr w14:paraId="3145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63B96C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Стратегічна ціль: Швидкісний Інтернет та засоби доступу доступні для всіх</w:t>
            </w:r>
          </w:p>
        </w:tc>
      </w:tr>
      <w:tr w14:paraId="109F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 w14:paraId="252FC3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моніторинг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щодо стану покриття Інтернетом закладів освіти</w:t>
            </w:r>
          </w:p>
        </w:tc>
        <w:tc>
          <w:tcPr>
            <w:tcW w:w="2649" w:type="dxa"/>
          </w:tcPr>
          <w:p w14:paraId="5ACFA0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Провести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моніторинг доступу до Інтернету в закладах освіти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, охорони здоров’я, культури, ЦНАПах</w:t>
            </w:r>
          </w:p>
        </w:tc>
        <w:tc>
          <w:tcPr>
            <w:tcW w:w="3014" w:type="dxa"/>
          </w:tcPr>
          <w:p w14:paraId="5F60D94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Визначення перспективи щодо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доступу до Інтернету в закладах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та установах Попівської сільської ради на основі аналітично-прогностичні роботи</w:t>
            </w:r>
          </w:p>
        </w:tc>
        <w:tc>
          <w:tcPr>
            <w:tcW w:w="1366" w:type="dxa"/>
          </w:tcPr>
          <w:p w14:paraId="090DE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14:paraId="7E6BA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</w:tcPr>
          <w:p w14:paraId="250FA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2025 року </w:t>
            </w:r>
          </w:p>
        </w:tc>
        <w:tc>
          <w:tcPr>
            <w:tcW w:w="2317" w:type="dxa"/>
          </w:tcPr>
          <w:p w14:paraId="7BF5B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ради, КНП «Центр ПМСД» Попівської сільської ради</w:t>
            </w:r>
            <w:r>
              <w:rPr>
                <w:rFonts w:cs="Times New Roman"/>
                <w:sz w:val="24"/>
                <w:szCs w:val="24"/>
                <w:lang w:val="uk-UA"/>
              </w:rPr>
              <w:t>, Апарат Попівської сільської ради,  КЗ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«Центр культури, дозвілля та спорту»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Попівської сільської ради</w:t>
            </w:r>
          </w:p>
        </w:tc>
        <w:tc>
          <w:tcPr>
            <w:tcW w:w="2051" w:type="dxa"/>
          </w:tcPr>
          <w:p w14:paraId="315A0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1BC4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 w14:paraId="35DAA4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49" w:type="dxa"/>
          </w:tcPr>
          <w:p w14:paraId="285502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Забезпечити придбання мережевого обладнання для облаштування закладів освіти Wi-Fi доступом до мережі Інтернет</w:t>
            </w:r>
          </w:p>
        </w:tc>
        <w:tc>
          <w:tcPr>
            <w:tcW w:w="3014" w:type="dxa"/>
          </w:tcPr>
          <w:p w14:paraId="2EDBE28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закладів освіти Wi-Fi доступом до мережі Інтернет</w:t>
            </w:r>
          </w:p>
        </w:tc>
        <w:tc>
          <w:tcPr>
            <w:tcW w:w="1366" w:type="dxa"/>
          </w:tcPr>
          <w:p w14:paraId="44B059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14:paraId="430441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</w:tcPr>
          <w:p w14:paraId="5A7A0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2025 року </w:t>
            </w:r>
          </w:p>
        </w:tc>
        <w:tc>
          <w:tcPr>
            <w:tcW w:w="2317" w:type="dxa"/>
          </w:tcPr>
          <w:p w14:paraId="660A27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</w:t>
            </w:r>
          </w:p>
        </w:tc>
        <w:tc>
          <w:tcPr>
            <w:tcW w:w="2051" w:type="dxa"/>
          </w:tcPr>
          <w:p w14:paraId="686FC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Місцевий бюджет </w:t>
            </w:r>
          </w:p>
          <w:p w14:paraId="75B3D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(5,0 тис. грн)</w:t>
            </w:r>
          </w:p>
        </w:tc>
      </w:tr>
      <w:tr w14:paraId="5302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63AF6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необхідним програмним забезпеченням та засобами доступу до Інтернету закладів культури</w:t>
            </w:r>
          </w:p>
        </w:tc>
        <w:tc>
          <w:tcPr>
            <w:tcW w:w="2649" w:type="dxa"/>
            <w:shd w:val="clear" w:color="auto" w:fill="auto"/>
          </w:tcPr>
          <w:p w14:paraId="2A57F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бібліотеки громади комп’ютерними тифлокомплексами </w:t>
            </w:r>
          </w:p>
        </w:tc>
        <w:tc>
          <w:tcPr>
            <w:tcW w:w="3014" w:type="dxa"/>
            <w:shd w:val="clear" w:color="auto" w:fill="auto"/>
          </w:tcPr>
          <w:p w14:paraId="77AC6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людей з вадами зору доступом до Інтернету</w:t>
            </w:r>
          </w:p>
          <w:p w14:paraId="140AE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7C21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центральна бібліотека-філія;</w:t>
            </w:r>
          </w:p>
          <w:p w14:paraId="756822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Попівська сільська бібліотека-філія;</w:t>
            </w:r>
          </w:p>
          <w:p w14:paraId="1E72F2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Вирівська сільська бібліотека-філія</w:t>
            </w:r>
          </w:p>
        </w:tc>
        <w:tc>
          <w:tcPr>
            <w:tcW w:w="1366" w:type="dxa"/>
            <w:shd w:val="clear" w:color="auto" w:fill="auto"/>
          </w:tcPr>
          <w:p w14:paraId="5D8DB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2026 року</w:t>
            </w:r>
          </w:p>
        </w:tc>
        <w:tc>
          <w:tcPr>
            <w:tcW w:w="1659" w:type="dxa"/>
            <w:shd w:val="clear" w:color="auto" w:fill="auto"/>
          </w:tcPr>
          <w:p w14:paraId="403F4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2026 року</w:t>
            </w:r>
          </w:p>
        </w:tc>
        <w:tc>
          <w:tcPr>
            <w:tcW w:w="2317" w:type="dxa"/>
            <w:shd w:val="clear" w:color="auto" w:fill="auto"/>
          </w:tcPr>
          <w:p w14:paraId="101657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2051" w:type="dxa"/>
            <w:shd w:val="clear" w:color="auto" w:fill="auto"/>
          </w:tcPr>
          <w:p w14:paraId="15430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14:paraId="2F342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150 000</w:t>
            </w:r>
          </w:p>
        </w:tc>
      </w:tr>
      <w:tr w14:paraId="4804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19417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підключення закладів культури до фіксованого широкосмугового доступу до Інтернету</w:t>
            </w:r>
          </w:p>
        </w:tc>
        <w:tc>
          <w:tcPr>
            <w:tcW w:w="2649" w:type="dxa"/>
            <w:shd w:val="clear" w:color="auto" w:fill="auto"/>
          </w:tcPr>
          <w:p w14:paraId="5A289F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Підключення закладів культури до фіксованого широкосмугового доступу до Інтернету зі швидкістю не менше 100 Мбіт/с</w:t>
            </w:r>
          </w:p>
        </w:tc>
        <w:tc>
          <w:tcPr>
            <w:tcW w:w="3014" w:type="dxa"/>
            <w:shd w:val="clear" w:color="auto" w:fill="auto"/>
          </w:tcPr>
          <w:p w14:paraId="5699E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Розширення сфери доступності</w:t>
            </w:r>
          </w:p>
        </w:tc>
        <w:tc>
          <w:tcPr>
            <w:tcW w:w="1366" w:type="dxa"/>
            <w:shd w:val="clear" w:color="auto" w:fill="auto"/>
          </w:tcPr>
          <w:p w14:paraId="04F9A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14:paraId="4E27A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  <w:shd w:val="clear" w:color="auto" w:fill="auto"/>
          </w:tcPr>
          <w:p w14:paraId="2B0AA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2026 року</w:t>
            </w:r>
          </w:p>
        </w:tc>
        <w:tc>
          <w:tcPr>
            <w:tcW w:w="2317" w:type="dxa"/>
            <w:shd w:val="clear" w:color="auto" w:fill="auto"/>
          </w:tcPr>
          <w:p w14:paraId="7A3E22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2051" w:type="dxa"/>
            <w:shd w:val="clear" w:color="auto" w:fill="auto"/>
          </w:tcPr>
          <w:p w14:paraId="007C5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14:paraId="12B05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E7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15 000</w:t>
            </w:r>
          </w:p>
        </w:tc>
      </w:tr>
      <w:tr w14:paraId="4F33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19784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Забезпечен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точок вільного доступу до Інтернету </w:t>
            </w:r>
          </w:p>
        </w:tc>
        <w:tc>
          <w:tcPr>
            <w:tcW w:w="2649" w:type="dxa"/>
            <w:shd w:val="clear" w:color="auto" w:fill="auto"/>
          </w:tcPr>
          <w:p w14:paraId="72EE41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Розширити кількість точок доступу безкоштовного wi-fi у місцях надання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культурних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послуг</w:t>
            </w:r>
          </w:p>
        </w:tc>
        <w:tc>
          <w:tcPr>
            <w:tcW w:w="3014" w:type="dxa"/>
            <w:shd w:val="clear" w:color="auto" w:fill="auto"/>
          </w:tcPr>
          <w:p w14:paraId="63CAA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Розширення сфери доступності в закладах та на зупинках громадського транспорту</w:t>
            </w:r>
          </w:p>
        </w:tc>
        <w:tc>
          <w:tcPr>
            <w:tcW w:w="1366" w:type="dxa"/>
            <w:shd w:val="clear" w:color="auto" w:fill="auto"/>
          </w:tcPr>
          <w:p w14:paraId="4163C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14:paraId="75F86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  <w:shd w:val="clear" w:color="auto" w:fill="auto"/>
          </w:tcPr>
          <w:p w14:paraId="4CC93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2026 року</w:t>
            </w:r>
          </w:p>
        </w:tc>
        <w:tc>
          <w:tcPr>
            <w:tcW w:w="2317" w:type="dxa"/>
            <w:shd w:val="clear" w:color="auto" w:fill="auto"/>
          </w:tcPr>
          <w:p w14:paraId="6C8C76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рад, КНП «Центр ПМСД» Попівської сільської ради</w:t>
            </w:r>
            <w:r>
              <w:rPr>
                <w:rFonts w:cs="Times New Roman"/>
                <w:sz w:val="24"/>
                <w:szCs w:val="24"/>
                <w:lang w:val="uk-UA"/>
              </w:rPr>
              <w:t>, Апарат Попівської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Конотопського району Сумської області</w:t>
            </w:r>
          </w:p>
        </w:tc>
        <w:tc>
          <w:tcPr>
            <w:tcW w:w="2051" w:type="dxa"/>
            <w:shd w:val="clear" w:color="auto" w:fill="auto"/>
          </w:tcPr>
          <w:p w14:paraId="51D76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14:paraId="7D324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0CF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10 000</w:t>
            </w:r>
          </w:p>
          <w:p w14:paraId="41560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405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14:paraId="3CB52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F7C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10 000</w:t>
            </w:r>
          </w:p>
        </w:tc>
      </w:tr>
      <w:tr w14:paraId="0B7F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6B70D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доступності цифрових послуг</w:t>
            </w:r>
          </w:p>
        </w:tc>
        <w:tc>
          <w:tcPr>
            <w:tcW w:w="2649" w:type="dxa"/>
            <w:shd w:val="clear" w:color="auto" w:fill="auto"/>
          </w:tcPr>
          <w:p w14:paraId="4BEA4E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Провести навчання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 персоналу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цифровим навичкам для надання підтримки людям старшого віку та особам з інвалідністю</w:t>
            </w:r>
          </w:p>
        </w:tc>
        <w:tc>
          <w:tcPr>
            <w:tcW w:w="3014" w:type="dxa"/>
            <w:shd w:val="clear" w:color="auto" w:fill="auto"/>
          </w:tcPr>
          <w:p w14:paraId="54604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Розширення сфери цифрової доступності</w:t>
            </w:r>
          </w:p>
        </w:tc>
        <w:tc>
          <w:tcPr>
            <w:tcW w:w="1366" w:type="dxa"/>
            <w:shd w:val="clear" w:color="auto" w:fill="auto"/>
          </w:tcPr>
          <w:p w14:paraId="1E84D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2025 року</w:t>
            </w:r>
          </w:p>
        </w:tc>
        <w:tc>
          <w:tcPr>
            <w:tcW w:w="1659" w:type="dxa"/>
            <w:shd w:val="clear" w:color="auto" w:fill="auto"/>
          </w:tcPr>
          <w:p w14:paraId="433C3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2026 року</w:t>
            </w:r>
          </w:p>
        </w:tc>
        <w:tc>
          <w:tcPr>
            <w:tcW w:w="2317" w:type="dxa"/>
            <w:shd w:val="clear" w:color="auto" w:fill="auto"/>
          </w:tcPr>
          <w:p w14:paraId="399FEB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КНП «Центр ПМСД» Попівської сільської ради</w:t>
            </w:r>
            <w:r>
              <w:rPr>
                <w:rFonts w:cs="Times New Roman"/>
                <w:sz w:val="24"/>
                <w:szCs w:val="24"/>
                <w:lang w:val="uk-UA"/>
              </w:rPr>
              <w:t>, Апарат Попівської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Конотопського району Сумської області </w:t>
            </w:r>
          </w:p>
        </w:tc>
        <w:tc>
          <w:tcPr>
            <w:tcW w:w="2051" w:type="dxa"/>
            <w:shd w:val="clear" w:color="auto" w:fill="auto"/>
          </w:tcPr>
          <w:p w14:paraId="225D3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03A3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4DF116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Напрям 4. Суспільна та громадянська безбар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єрність</w:t>
            </w:r>
          </w:p>
          <w:p w14:paraId="0181B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14:paraId="7E6D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50B061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Стратегічна ціль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Різні суспільні групи користуються рівними правами та можливостями для соціального залучення та громадянської участі</w:t>
            </w:r>
          </w:p>
        </w:tc>
      </w:tr>
      <w:tr w14:paraId="45F9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vMerge w:val="restart"/>
          </w:tcPr>
          <w:p w14:paraId="3DAC3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Розвиток громадянської освіти дітей та молоді для всіх суспільних груп</w:t>
            </w:r>
          </w:p>
        </w:tc>
        <w:tc>
          <w:tcPr>
            <w:tcW w:w="2649" w:type="dxa"/>
          </w:tcPr>
          <w:p w14:paraId="352250C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Організувати та провести інформаційно-просвітницькі заходи для дітей та учнівської молоді із врахуванням політики безбар’єрності та недискримінації з залученням фахівців КЗ ІРЦ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Попівської сільської ради </w:t>
            </w:r>
          </w:p>
        </w:tc>
        <w:tc>
          <w:tcPr>
            <w:tcW w:w="3014" w:type="dxa"/>
          </w:tcPr>
          <w:p w14:paraId="49095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рівних можливостей та рівного доступу до освіти</w:t>
            </w:r>
          </w:p>
        </w:tc>
        <w:tc>
          <w:tcPr>
            <w:tcW w:w="1366" w:type="dxa"/>
          </w:tcPr>
          <w:p w14:paraId="1E84FC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14:paraId="339F3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</w:tcPr>
          <w:p w14:paraId="58C3B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2025 року </w:t>
            </w:r>
          </w:p>
        </w:tc>
        <w:tc>
          <w:tcPr>
            <w:tcW w:w="2317" w:type="dxa"/>
          </w:tcPr>
          <w:p w14:paraId="3D76F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ради, 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 xml:space="preserve">З ІРЦ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Попівської сільської ради Конотопського району Сумської області</w:t>
            </w:r>
          </w:p>
        </w:tc>
        <w:tc>
          <w:tcPr>
            <w:tcW w:w="2051" w:type="dxa"/>
          </w:tcPr>
          <w:p w14:paraId="6B8F6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3B19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vMerge w:val="continue"/>
          </w:tcPr>
          <w:p w14:paraId="0C3FD4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9" w:type="dxa"/>
          </w:tcPr>
          <w:p w14:paraId="495713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Провести просвітницькі заходи з представниками органів учнівського самоврядування щодо залучення їх до життя громад</w:t>
            </w:r>
          </w:p>
        </w:tc>
        <w:tc>
          <w:tcPr>
            <w:tcW w:w="3014" w:type="dxa"/>
          </w:tcPr>
          <w:p w14:paraId="32823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громадянської самосвідомості учнівської молоді</w:t>
            </w:r>
          </w:p>
        </w:tc>
        <w:tc>
          <w:tcPr>
            <w:tcW w:w="1366" w:type="dxa"/>
          </w:tcPr>
          <w:p w14:paraId="47CAF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14:paraId="75B06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</w:tcPr>
          <w:p w14:paraId="2C2A1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2025 року </w:t>
            </w:r>
          </w:p>
        </w:tc>
        <w:tc>
          <w:tcPr>
            <w:tcW w:w="2317" w:type="dxa"/>
          </w:tcPr>
          <w:p w14:paraId="3D722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</w:t>
            </w:r>
          </w:p>
        </w:tc>
        <w:tc>
          <w:tcPr>
            <w:tcW w:w="2051" w:type="dxa"/>
          </w:tcPr>
          <w:p w14:paraId="5651D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2C94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</w:tcPr>
          <w:p w14:paraId="4A833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Стратегічна ціль: Суспільне прийняття, взаємоповага та згуртованість посилюють соціальний капітал у громадах</w:t>
            </w:r>
          </w:p>
        </w:tc>
      </w:tr>
      <w:tr w14:paraId="1DA6F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vMerge w:val="restart"/>
          </w:tcPr>
          <w:p w14:paraId="340E80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Проведення просвітницької кампанії щодо підвищення рівня толерантності, недискримінації, розуміння цінностей різноманіття та суспільного прийняття, про повагу, безбар’єрні комунікації і чутливу мову спілкування.</w:t>
            </w:r>
          </w:p>
        </w:tc>
        <w:tc>
          <w:tcPr>
            <w:tcW w:w="2649" w:type="dxa"/>
          </w:tcPr>
          <w:p w14:paraId="06C146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Провести серію просвітницьких кампаній щодо толерантного ставлення, використання чутливої мови спілкування, недопущення дискримінації та булінгу осіб з інвалідністю</w:t>
            </w:r>
          </w:p>
          <w:p w14:paraId="6DBAA4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14" w:type="dxa"/>
          </w:tcPr>
          <w:p w14:paraId="2F89D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Усунення виявів булінгу та дискримінації в тому числі до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осіб з інвалідністю в учнівському середовищі</w:t>
            </w:r>
          </w:p>
        </w:tc>
        <w:tc>
          <w:tcPr>
            <w:tcW w:w="1366" w:type="dxa"/>
          </w:tcPr>
          <w:p w14:paraId="432C4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14:paraId="0700A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</w:tcPr>
          <w:p w14:paraId="21255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2025 року </w:t>
            </w:r>
          </w:p>
        </w:tc>
        <w:tc>
          <w:tcPr>
            <w:tcW w:w="2317" w:type="dxa"/>
          </w:tcPr>
          <w:p w14:paraId="3D1E5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</w:t>
            </w:r>
          </w:p>
        </w:tc>
        <w:tc>
          <w:tcPr>
            <w:tcW w:w="2051" w:type="dxa"/>
          </w:tcPr>
          <w:p w14:paraId="7CB59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0D31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vMerge w:val="continue"/>
          </w:tcPr>
          <w:p w14:paraId="33E9CA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49" w:type="dxa"/>
          </w:tcPr>
          <w:p w14:paraId="10F09A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Забезпечити проведення заходів щодо вшанування пам’яті захисників України</w:t>
            </w:r>
          </w:p>
        </w:tc>
        <w:tc>
          <w:tcPr>
            <w:tcW w:w="3014" w:type="dxa"/>
          </w:tcPr>
          <w:p w14:paraId="56CB2D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Підвищення рівня національної свідомості, вшанування пам’яті захисників України</w:t>
            </w:r>
          </w:p>
        </w:tc>
        <w:tc>
          <w:tcPr>
            <w:tcW w:w="1366" w:type="dxa"/>
          </w:tcPr>
          <w:p w14:paraId="2510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14:paraId="0792D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</w:tcPr>
          <w:p w14:paraId="658D9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 2025 року </w:t>
            </w:r>
          </w:p>
        </w:tc>
        <w:tc>
          <w:tcPr>
            <w:tcW w:w="2317" w:type="dxa"/>
          </w:tcPr>
          <w:p w14:paraId="68417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</w:t>
            </w:r>
          </w:p>
        </w:tc>
        <w:tc>
          <w:tcPr>
            <w:tcW w:w="2051" w:type="dxa"/>
          </w:tcPr>
          <w:p w14:paraId="04328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0C4B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vMerge w:val="continue"/>
          </w:tcPr>
          <w:p w14:paraId="5388FD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49" w:type="dxa"/>
          </w:tcPr>
          <w:p w14:paraId="54AD96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Стимулювання до волонтерства у закладах освіти громади (проведення благодійних ярмарків, акцій)</w:t>
            </w:r>
          </w:p>
        </w:tc>
        <w:tc>
          <w:tcPr>
            <w:tcW w:w="3014" w:type="dxa"/>
          </w:tcPr>
          <w:p w14:paraId="0C7A3B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Розвиток системи волонтерства</w:t>
            </w:r>
          </w:p>
        </w:tc>
        <w:tc>
          <w:tcPr>
            <w:tcW w:w="1366" w:type="dxa"/>
          </w:tcPr>
          <w:p w14:paraId="6944D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14:paraId="50D12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</w:tcPr>
          <w:p w14:paraId="6494B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2025 року </w:t>
            </w:r>
          </w:p>
        </w:tc>
        <w:tc>
          <w:tcPr>
            <w:tcW w:w="2317" w:type="dxa"/>
          </w:tcPr>
          <w:p w14:paraId="2064D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 Попівської сільської ради Конотопського району Сумської області</w:t>
            </w:r>
          </w:p>
          <w:p w14:paraId="52773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</w:tcPr>
          <w:p w14:paraId="7AB3A5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4E9E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 w14:paraId="77837BF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49" w:type="dxa"/>
            <w:shd w:val="clear" w:color="auto" w:fill="auto"/>
          </w:tcPr>
          <w:p w14:paraId="42AE07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Організувати та провести культурно-мистецькі заходи для різних категорій населення  із  врахуванням політики безбар’єрності та недискримінації</w:t>
            </w:r>
          </w:p>
        </w:tc>
        <w:tc>
          <w:tcPr>
            <w:tcW w:w="3014" w:type="dxa"/>
            <w:shd w:val="clear" w:color="auto" w:fill="auto"/>
          </w:tcPr>
          <w:p w14:paraId="7951F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рівних можливостей та рівного доступу до культурного життя</w:t>
            </w:r>
          </w:p>
        </w:tc>
        <w:tc>
          <w:tcPr>
            <w:tcW w:w="1366" w:type="dxa"/>
            <w:shd w:val="clear" w:color="auto" w:fill="auto"/>
          </w:tcPr>
          <w:p w14:paraId="4AC30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09F46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  <w:shd w:val="clear" w:color="auto" w:fill="auto"/>
          </w:tcPr>
          <w:p w14:paraId="77BCA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2026 року</w:t>
            </w:r>
          </w:p>
        </w:tc>
        <w:tc>
          <w:tcPr>
            <w:tcW w:w="2317" w:type="dxa"/>
            <w:shd w:val="clear" w:color="auto" w:fill="auto"/>
          </w:tcPr>
          <w:p w14:paraId="02626F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ради, КЗ ІРЦ Попівської сільської ради (за згодою) Конотопського району Сумської області</w:t>
            </w:r>
          </w:p>
          <w:p w14:paraId="7D529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1" w:type="dxa"/>
            <w:shd w:val="clear" w:color="auto" w:fill="auto"/>
          </w:tcPr>
          <w:p w14:paraId="59AC0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3840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4" w:type="dxa"/>
            <w:gridSpan w:val="7"/>
            <w:shd w:val="clear" w:color="auto" w:fill="auto"/>
          </w:tcPr>
          <w:p w14:paraId="6BCE2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Стратегічна ціл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uk-UA"/>
              </w:rPr>
              <w:t>ь: 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Кожна людина має доступ до розвиненої системи громадського здоровʼя, включаючи заходи фізичної активності та спорту</w:t>
            </w:r>
          </w:p>
        </w:tc>
      </w:tr>
      <w:tr w14:paraId="69B4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shd w:val="clear" w:color="auto" w:fill="auto"/>
          </w:tcPr>
          <w:p w14:paraId="4D3A83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залучення всіх суспільних груп до оздоровчої рухової активності та адаптивного спорту</w:t>
            </w:r>
          </w:p>
          <w:p w14:paraId="30B99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05F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49" w:type="dxa"/>
            <w:shd w:val="clear" w:color="auto" w:fill="auto"/>
          </w:tcPr>
          <w:p w14:paraId="70535A1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Забезпечити доступ до закладів/об’єктів  фізичної культури і спорту для всіх груп населення</w:t>
            </w:r>
          </w:p>
        </w:tc>
        <w:tc>
          <w:tcPr>
            <w:tcW w:w="3014" w:type="dxa"/>
            <w:shd w:val="clear" w:color="auto" w:fill="auto"/>
          </w:tcPr>
          <w:p w14:paraId="674B8C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рівних можливостей та рівного доступу до занять фізичною культурою та спортом</w:t>
            </w:r>
          </w:p>
        </w:tc>
        <w:tc>
          <w:tcPr>
            <w:tcW w:w="1366" w:type="dxa"/>
            <w:shd w:val="clear" w:color="auto" w:fill="auto"/>
          </w:tcPr>
          <w:p w14:paraId="3E15A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14:paraId="2BB12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  <w:shd w:val="clear" w:color="auto" w:fill="auto"/>
          </w:tcPr>
          <w:p w14:paraId="26939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2026 року </w:t>
            </w:r>
          </w:p>
        </w:tc>
        <w:tc>
          <w:tcPr>
            <w:tcW w:w="2317" w:type="dxa"/>
            <w:shd w:val="clear" w:color="auto" w:fill="auto"/>
          </w:tcPr>
          <w:p w14:paraId="1C270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2051" w:type="dxa"/>
            <w:shd w:val="clear" w:color="auto" w:fill="auto"/>
          </w:tcPr>
          <w:p w14:paraId="635376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0630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 w14:paraId="1B6175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49" w:type="dxa"/>
            <w:shd w:val="clear" w:color="auto" w:fill="auto"/>
          </w:tcPr>
          <w:p w14:paraId="0C57B44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Забезпечити проведення постійного моніторингу визначення рівня залученості всіх суспільних груп до рухової активності та адаптивного спорту</w:t>
            </w:r>
          </w:p>
        </w:tc>
        <w:tc>
          <w:tcPr>
            <w:tcW w:w="3014" w:type="dxa"/>
            <w:shd w:val="clear" w:color="auto" w:fill="auto"/>
          </w:tcPr>
          <w:p w14:paraId="0DF9082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Оприлюднення</w:t>
            </w:r>
          </w:p>
          <w:p w14:paraId="0D82A475">
            <w:pPr>
              <w:widowControl w:val="0"/>
              <w:spacing w:after="0" w:line="240" w:lineRule="auto"/>
              <w:ind w:right="366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результатів моніторингу на офіційних веб-ресурсах</w:t>
            </w:r>
          </w:p>
        </w:tc>
        <w:tc>
          <w:tcPr>
            <w:tcW w:w="1366" w:type="dxa"/>
            <w:shd w:val="clear" w:color="auto" w:fill="auto"/>
          </w:tcPr>
          <w:p w14:paraId="680AF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14:paraId="1589F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  <w:shd w:val="clear" w:color="auto" w:fill="auto"/>
          </w:tcPr>
          <w:p w14:paraId="407B3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2026 року </w:t>
            </w:r>
          </w:p>
        </w:tc>
        <w:tc>
          <w:tcPr>
            <w:tcW w:w="2317" w:type="dxa"/>
            <w:shd w:val="clear" w:color="auto" w:fill="auto"/>
          </w:tcPr>
          <w:p w14:paraId="16B2E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2051" w:type="dxa"/>
            <w:shd w:val="clear" w:color="auto" w:fill="auto"/>
          </w:tcPr>
          <w:p w14:paraId="2D04E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14:paraId="49D6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</w:tcPr>
          <w:p w14:paraId="7EB49D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49" w:type="dxa"/>
            <w:shd w:val="clear" w:color="auto" w:fill="auto"/>
          </w:tcPr>
          <w:p w14:paraId="05C671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/>
              </w:rPr>
              <w:t>Провести заходи з фізичної культури і спорту за участю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3014" w:type="dxa"/>
            <w:shd w:val="clear" w:color="auto" w:fill="auto"/>
          </w:tcPr>
          <w:p w14:paraId="443254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фізичної активності</w:t>
            </w:r>
          </w:p>
        </w:tc>
        <w:tc>
          <w:tcPr>
            <w:tcW w:w="1366" w:type="dxa"/>
            <w:shd w:val="clear" w:color="auto" w:fill="auto"/>
          </w:tcPr>
          <w:p w14:paraId="64252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  <w:p w14:paraId="08FDB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року</w:t>
            </w:r>
          </w:p>
        </w:tc>
        <w:tc>
          <w:tcPr>
            <w:tcW w:w="1659" w:type="dxa"/>
            <w:shd w:val="clear" w:color="auto" w:fill="auto"/>
          </w:tcPr>
          <w:p w14:paraId="4609B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2026 року </w:t>
            </w:r>
          </w:p>
        </w:tc>
        <w:tc>
          <w:tcPr>
            <w:tcW w:w="2317" w:type="dxa"/>
            <w:shd w:val="clear" w:color="auto" w:fill="auto"/>
          </w:tcPr>
          <w:p w14:paraId="71D534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 «Центр культури, дозвілля та спорту» Попівської сільської ради Конотопського району Сумської області</w:t>
            </w:r>
          </w:p>
        </w:tc>
        <w:tc>
          <w:tcPr>
            <w:tcW w:w="2051" w:type="dxa"/>
            <w:shd w:val="clear" w:color="auto" w:fill="auto"/>
          </w:tcPr>
          <w:p w14:paraId="65EA9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</w:tr>
    </w:tbl>
    <w:p w14:paraId="29ADC8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6512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65D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                                                                  Валентина МАЛІГОН</w:t>
      </w:r>
    </w:p>
    <w:p w14:paraId="360CBFB0">
      <w:pPr>
        <w:suppressAutoHyphens/>
        <w:jc w:val="both"/>
        <w:rPr>
          <w:color w:val="000000"/>
        </w:rPr>
      </w:pPr>
    </w:p>
    <w:sectPr>
      <w:pgSz w:w="11906" w:h="16838"/>
      <w:pgMar w:top="426" w:right="850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60383"/>
    <w:rsid w:val="00060458"/>
    <w:rsid w:val="000858BB"/>
    <w:rsid w:val="000C72F3"/>
    <w:rsid w:val="000E05DA"/>
    <w:rsid w:val="000E43DF"/>
    <w:rsid w:val="002201A9"/>
    <w:rsid w:val="00235216"/>
    <w:rsid w:val="002409A2"/>
    <w:rsid w:val="002A0E7C"/>
    <w:rsid w:val="002B01A9"/>
    <w:rsid w:val="002C46B6"/>
    <w:rsid w:val="002E2A8A"/>
    <w:rsid w:val="002F0DB6"/>
    <w:rsid w:val="00300F58"/>
    <w:rsid w:val="0039710D"/>
    <w:rsid w:val="003D4303"/>
    <w:rsid w:val="004A198D"/>
    <w:rsid w:val="004B4510"/>
    <w:rsid w:val="004D1A21"/>
    <w:rsid w:val="00577CEA"/>
    <w:rsid w:val="005C4C5A"/>
    <w:rsid w:val="0061281C"/>
    <w:rsid w:val="0063012B"/>
    <w:rsid w:val="0063245D"/>
    <w:rsid w:val="0063634E"/>
    <w:rsid w:val="0064653A"/>
    <w:rsid w:val="007834AF"/>
    <w:rsid w:val="007B7A38"/>
    <w:rsid w:val="007E1D2E"/>
    <w:rsid w:val="00844123"/>
    <w:rsid w:val="008F6E52"/>
    <w:rsid w:val="00900F8C"/>
    <w:rsid w:val="009E5036"/>
    <w:rsid w:val="00A50609"/>
    <w:rsid w:val="00AC0B4E"/>
    <w:rsid w:val="00AD352B"/>
    <w:rsid w:val="00AE5105"/>
    <w:rsid w:val="00AF2825"/>
    <w:rsid w:val="00B10B64"/>
    <w:rsid w:val="00B43E1E"/>
    <w:rsid w:val="00B70F9D"/>
    <w:rsid w:val="00B87036"/>
    <w:rsid w:val="00BA52DE"/>
    <w:rsid w:val="00BE5952"/>
    <w:rsid w:val="00BE6AA8"/>
    <w:rsid w:val="00C572D1"/>
    <w:rsid w:val="00CA5478"/>
    <w:rsid w:val="00CE3038"/>
    <w:rsid w:val="00CE591C"/>
    <w:rsid w:val="00D103B0"/>
    <w:rsid w:val="00D362D4"/>
    <w:rsid w:val="00DD06B8"/>
    <w:rsid w:val="00DD0CE7"/>
    <w:rsid w:val="00E51D80"/>
    <w:rsid w:val="00E62A19"/>
    <w:rsid w:val="00EC471A"/>
    <w:rsid w:val="00EE305E"/>
    <w:rsid w:val="00F0074A"/>
    <w:rsid w:val="00FA4683"/>
    <w:rsid w:val="00FD25ED"/>
    <w:rsid w:val="10166198"/>
    <w:rsid w:val="1F58389A"/>
    <w:rsid w:val="24F33608"/>
    <w:rsid w:val="2FF6793A"/>
    <w:rsid w:val="364A5333"/>
    <w:rsid w:val="4DA938C6"/>
    <w:rsid w:val="57C45843"/>
    <w:rsid w:val="5F7E7EC9"/>
    <w:rsid w:val="670C5935"/>
    <w:rsid w:val="7870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link w:val="1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Абзац списка Знак"/>
    <w:link w:val="8"/>
    <w:qFormat/>
    <w:locked/>
    <w:uiPriority w:val="34"/>
    <w:rPr>
      <w:rFonts w:ascii="Times New Roman" w:hAnsi="Times New Roman" w:eastAsia="Calibri" w:cs="Times New Roman"/>
      <w:sz w:val="20"/>
      <w:szCs w:val="20"/>
      <w:lang w:eastAsia="ru-RU"/>
    </w:rPr>
  </w:style>
  <w:style w:type="paragraph" w:customStyle="1" w:styleId="12">
    <w:name w:val="p6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13">
    <w:name w:val="No Spacing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4">
    <w:name w:val="Другое"/>
    <w:basedOn w:val="1"/>
    <w:qFormat/>
    <w:uiPriority w:val="0"/>
    <w:rPr>
      <w:rFonts w:ascii="Times New Roman" w:hAnsi="Times New Roman" w:eastAsia="Times New Roman" w:cs="Times New Roman"/>
      <w:color w:val="2C2E31"/>
    </w:rPr>
  </w:style>
  <w:style w:type="character" w:customStyle="1" w:styleId="15">
    <w:name w:val="fontstyle01"/>
    <w:basedOn w:val="2"/>
    <w:autoRedefine/>
    <w:qFormat/>
    <w:uiPriority w:val="0"/>
    <w:rPr>
      <w:rFonts w:hint="default" w:ascii="TimesNewRomanPSMT" w:hAnsi="TimesNewRomanPSMT"/>
      <w:color w:val="000000"/>
      <w:sz w:val="26"/>
      <w:szCs w:val="26"/>
    </w:rPr>
  </w:style>
  <w:style w:type="paragraph" w:customStyle="1" w:styleId="16">
    <w:name w:val="Подпись к таблице"/>
    <w:basedOn w:val="1"/>
    <w:qFormat/>
    <w:uiPriority w:val="0"/>
    <w:pPr>
      <w:jc w:val="right"/>
    </w:pPr>
    <w:rPr>
      <w:rFonts w:ascii="Times New Roman" w:hAnsi="Times New Roman" w:eastAsia="Times New Roman" w:cs="Times New Roman"/>
      <w:color w:val="2C2E31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27B71-D8A2-46A8-8CC7-F1942BA39C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1700</Words>
  <Characters>970</Characters>
  <Lines>8</Lines>
  <Paragraphs>5</Paragraphs>
  <TotalTime>1</TotalTime>
  <ScaleCrop>false</ScaleCrop>
  <LinksUpToDate>false</LinksUpToDate>
  <CharactersWithSpaces>2665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2021-04-19T07:02:00Z</dcterms:created>
  <dc:creator>Клиент</dc:creator>
  <cp:lastModifiedBy>Галина Шкареда</cp:lastModifiedBy>
  <cp:lastPrinted>2025-02-28T14:02:00Z</cp:lastPrinted>
  <dcterms:modified xsi:type="dcterms:W3CDTF">2025-03-18T13:19:44Z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28630A07C98240ADADC5A0FF2AAFAE06_13</vt:lpwstr>
  </property>
</Properties>
</file>