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F938C">
      <w:pPr>
        <w:shd w:val="clear" w:color="auto" w:fill="FFFFFF"/>
        <w:jc w:val="center"/>
        <w:rPr>
          <w:b/>
          <w:bCs/>
          <w:sz w:val="28"/>
          <w:szCs w:val="28"/>
          <w:lang w:eastAsia="en-US"/>
        </w:rPr>
      </w:pPr>
      <w:r>
        <w:rPr>
          <w:b/>
          <w:bCs/>
          <w:sz w:val="28"/>
          <w:szCs w:val="28"/>
          <w:lang w:val="uk-UA" w:eastAsia="uk-UA"/>
        </w:rPr>
        <w:drawing>
          <wp:inline distT="0" distB="0" distL="0" distR="0">
            <wp:extent cx="51816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160" cy="670560"/>
                    </a:xfrm>
                    <a:prstGeom prst="rect">
                      <a:avLst/>
                    </a:prstGeom>
                    <a:noFill/>
                  </pic:spPr>
                </pic:pic>
              </a:graphicData>
            </a:graphic>
          </wp:inline>
        </w:drawing>
      </w:r>
    </w:p>
    <w:p w14:paraId="2D7BBF8F">
      <w:pPr>
        <w:shd w:val="clear" w:color="auto" w:fill="FFFFFF"/>
        <w:jc w:val="center"/>
        <w:rPr>
          <w:b/>
          <w:bCs/>
          <w:sz w:val="28"/>
          <w:szCs w:val="28"/>
          <w:lang w:eastAsia="en-US"/>
        </w:rPr>
      </w:pPr>
    </w:p>
    <w:p w14:paraId="3E2F929F">
      <w:pPr>
        <w:shd w:val="clear" w:color="auto" w:fill="FFFFFF"/>
        <w:jc w:val="center"/>
        <w:rPr>
          <w:b/>
          <w:bCs/>
          <w:sz w:val="28"/>
          <w:szCs w:val="28"/>
          <w:lang w:eastAsia="en-US"/>
        </w:rPr>
      </w:pPr>
      <w:r>
        <w:rPr>
          <w:b/>
          <w:bCs/>
          <w:sz w:val="28"/>
          <w:szCs w:val="28"/>
          <w:lang w:eastAsia="en-US"/>
        </w:rPr>
        <w:t>ПОПІВСЬКА СІЛЬСЬКА РАДА</w:t>
      </w:r>
    </w:p>
    <w:p w14:paraId="337C388B">
      <w:pPr>
        <w:shd w:val="clear" w:color="auto" w:fill="FFFFFF"/>
        <w:jc w:val="center"/>
        <w:rPr>
          <w:sz w:val="32"/>
          <w:szCs w:val="28"/>
          <w:lang w:val="uk-UA" w:eastAsia="en-US"/>
        </w:rPr>
      </w:pPr>
      <w:r>
        <w:rPr>
          <w:b/>
          <w:bCs/>
          <w:sz w:val="28"/>
          <w:szCs w:val="28"/>
          <w:lang w:eastAsia="en-US"/>
        </w:rPr>
        <w:t>КОНОТОПСЬКОГО РАЙОНУ СУМСЬКОЇ ОБЛАСТІ</w:t>
      </w:r>
    </w:p>
    <w:p w14:paraId="0E58A1F9">
      <w:pPr>
        <w:shd w:val="clear" w:color="auto" w:fill="FFFFFF"/>
        <w:jc w:val="center"/>
        <w:rPr>
          <w:b/>
          <w:bCs/>
          <w:sz w:val="28"/>
          <w:szCs w:val="28"/>
          <w:lang w:val="uk-UA" w:eastAsia="en-US"/>
        </w:rPr>
      </w:pPr>
      <w:r>
        <w:rPr>
          <w:b/>
          <w:bCs/>
          <w:sz w:val="28"/>
          <w:szCs w:val="28"/>
          <w:lang w:val="uk-UA" w:eastAsia="en-US"/>
        </w:rPr>
        <w:t>ВОСЬМЕ</w:t>
      </w:r>
      <w:r>
        <w:rPr>
          <w:b/>
          <w:bCs/>
          <w:sz w:val="28"/>
          <w:szCs w:val="28"/>
          <w:lang w:val="en-US" w:eastAsia="en-US"/>
        </w:rPr>
        <w:t> </w:t>
      </w:r>
      <w:r>
        <w:rPr>
          <w:b/>
          <w:bCs/>
          <w:sz w:val="28"/>
          <w:szCs w:val="28"/>
          <w:lang w:val="uk-UA" w:eastAsia="en-US"/>
        </w:rPr>
        <w:t>СКЛИКАННЯ</w:t>
      </w:r>
    </w:p>
    <w:p w14:paraId="49377DC4">
      <w:pPr>
        <w:shd w:val="clear" w:color="auto" w:fill="FFFFFF"/>
        <w:jc w:val="center"/>
        <w:rPr>
          <w:sz w:val="32"/>
          <w:szCs w:val="28"/>
          <w:lang w:val="uk-UA" w:eastAsia="en-US"/>
        </w:rPr>
      </w:pPr>
      <w:r>
        <w:rPr>
          <w:b/>
          <w:bCs/>
          <w:sz w:val="28"/>
          <w:szCs w:val="28"/>
          <w:lang w:val="uk-UA" w:eastAsia="en-US"/>
        </w:rPr>
        <w:t>ВІСІМДЕСЯТА СЕСІЯ</w:t>
      </w:r>
    </w:p>
    <w:p w14:paraId="77EB8D6D">
      <w:pPr>
        <w:shd w:val="clear" w:color="auto" w:fill="FFFFFF"/>
        <w:jc w:val="center"/>
        <w:rPr>
          <w:sz w:val="32"/>
          <w:szCs w:val="28"/>
          <w:lang w:val="uk-UA" w:eastAsia="en-US"/>
        </w:rPr>
      </w:pPr>
      <w:r>
        <w:rPr>
          <w:b/>
          <w:bCs/>
          <w:sz w:val="28"/>
          <w:szCs w:val="28"/>
          <w:lang w:val="uk-UA" w:eastAsia="en-US"/>
        </w:rPr>
        <w:t>РІШЕННЯ</w:t>
      </w:r>
    </w:p>
    <w:p w14:paraId="1E624552">
      <w:pPr>
        <w:shd w:val="clear" w:color="auto" w:fill="FFFFFF"/>
        <w:jc w:val="center"/>
        <w:rPr>
          <w:b/>
          <w:sz w:val="28"/>
          <w:szCs w:val="28"/>
          <w:lang w:val="uk-UA" w:eastAsia="en-US"/>
        </w:rPr>
      </w:pPr>
      <w:r>
        <w:rPr>
          <w:sz w:val="24"/>
          <w:szCs w:val="24"/>
          <w:lang w:val="en-US" w:eastAsia="en-US"/>
        </w:rPr>
        <w:t> </w:t>
      </w:r>
      <w:r>
        <w:rPr>
          <w:b/>
          <w:sz w:val="28"/>
          <w:szCs w:val="28"/>
          <w:lang w:val="uk-UA" w:eastAsia="en-US"/>
        </w:rPr>
        <w:t>Попівка</w:t>
      </w:r>
    </w:p>
    <w:p w14:paraId="14EC006D">
      <w:pPr>
        <w:tabs>
          <w:tab w:val="left" w:pos="7440"/>
        </w:tabs>
        <w:rPr>
          <w:b/>
          <w:sz w:val="28"/>
          <w:szCs w:val="28"/>
          <w:lang w:val="uk-UA" w:eastAsia="en-US"/>
        </w:rPr>
      </w:pPr>
      <w:r>
        <w:rPr>
          <w:b/>
          <w:sz w:val="28"/>
          <w:szCs w:val="28"/>
          <w:lang w:val="uk-UA" w:eastAsia="en-US"/>
        </w:rPr>
        <w:t>26.09.2025</w:t>
      </w:r>
    </w:p>
    <w:p w14:paraId="67575DF0">
      <w:pPr>
        <w:shd w:val="clear" w:color="auto" w:fill="FFFFFF"/>
        <w:spacing w:line="240" w:lineRule="atLeast"/>
        <w:ind w:right="-1"/>
        <w:jc w:val="both"/>
        <w:rPr>
          <w:b/>
          <w:sz w:val="28"/>
          <w:szCs w:val="28"/>
          <w:lang w:val="uk-UA"/>
        </w:rPr>
      </w:pPr>
    </w:p>
    <w:p w14:paraId="29553B3F">
      <w:pPr>
        <w:shd w:val="clear" w:color="auto" w:fill="FFFFFF"/>
        <w:spacing w:line="240" w:lineRule="atLeast"/>
        <w:ind w:right="-1" w:firstLine="708"/>
        <w:jc w:val="both"/>
        <w:rPr>
          <w:b/>
          <w:sz w:val="28"/>
          <w:szCs w:val="28"/>
          <w:lang w:val="uk-UA"/>
        </w:rPr>
      </w:pPr>
      <w:r>
        <w:rPr>
          <w:b/>
          <w:sz w:val="28"/>
          <w:szCs w:val="28"/>
          <w:lang w:val="uk-UA"/>
        </w:rPr>
        <w:t>Про затвердження Положення про порядок видалення зелених насаджень на території Попівської сільської ради Конотопського району Сумської області у новій редакції</w:t>
      </w:r>
    </w:p>
    <w:p w14:paraId="7CE298FF">
      <w:pPr>
        <w:shd w:val="clear" w:color="auto" w:fill="FFFFFF"/>
        <w:spacing w:line="240" w:lineRule="atLeast"/>
        <w:ind w:right="-1"/>
        <w:jc w:val="both"/>
        <w:rPr>
          <w:b/>
          <w:sz w:val="28"/>
          <w:szCs w:val="28"/>
          <w:lang w:val="uk-UA"/>
        </w:rPr>
      </w:pPr>
    </w:p>
    <w:p w14:paraId="4880D963">
      <w:pPr>
        <w:suppressAutoHyphens/>
        <w:ind w:firstLine="708"/>
        <w:jc w:val="both"/>
        <w:rPr>
          <w:b/>
          <w:sz w:val="28"/>
          <w:szCs w:val="28"/>
          <w:lang w:val="uk-UA" w:eastAsia="zh-CN"/>
        </w:rPr>
      </w:pPr>
      <w:r>
        <w:rPr>
          <w:sz w:val="28"/>
          <w:szCs w:val="28"/>
          <w:lang w:val="uk-UA" w:eastAsia="zh-CN"/>
        </w:rPr>
        <w:t xml:space="preserve">З метою врегулювання питань видалення зелених насаджень на території Попівської сільської ради Конотопського району Сумської області, відповідно до статті 28 Закону України «Про благоустрій населених пунктів», Закону України «Про рослинний світ», </w:t>
      </w:r>
      <w:r>
        <w:rPr>
          <w:rFonts w:eastAsia="SimSun"/>
          <w:sz w:val="28"/>
          <w:szCs w:val="28"/>
          <w:lang w:val="uk-UA" w:eastAsia="zh-CN"/>
        </w:rPr>
        <w:t xml:space="preserve">статті 9 </w:t>
      </w:r>
      <w:r>
        <w:rPr>
          <w:rFonts w:eastAsia="SimSun"/>
          <w:sz w:val="28"/>
          <w:szCs w:val="28"/>
          <w:vertAlign w:val="superscript"/>
          <w:lang w:val="uk-UA" w:eastAsia="zh-CN"/>
        </w:rPr>
        <w:t xml:space="preserve">1 </w:t>
      </w:r>
      <w:r>
        <w:rPr>
          <w:rFonts w:eastAsia="SimSun"/>
          <w:sz w:val="28"/>
          <w:szCs w:val="28"/>
          <w:lang w:val="uk-UA" w:eastAsia="zh-CN"/>
        </w:rPr>
        <w:t xml:space="preserve">Закону України «Про природно – заповідний фонд України», </w:t>
      </w:r>
      <w:r>
        <w:rPr>
          <w:sz w:val="28"/>
          <w:szCs w:val="28"/>
          <w:lang w:val="uk-UA" w:eastAsia="zh-CN"/>
        </w:rPr>
        <w:t xml:space="preserve">Порядку видалення дерев, кущів, газонів і квітників у населених пунктах, затвердженого Постановою Кабінету Міністрів України від 1 серпня 2006 року №1045,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частини 1 статті 34 Закону України «Про регулювання містобудівної діяльності», Методики визначення відновної вартості зелених насаджень, затвердженої наказом Міністерства з питань житлово-комунального господарства України від 12.05.2009 року №127, </w:t>
      </w:r>
      <w:r>
        <w:rPr>
          <w:rFonts w:eastAsia="SimSun"/>
          <w:sz w:val="28"/>
          <w:szCs w:val="28"/>
          <w:lang w:val="uk-UA" w:eastAsia="zh-CN"/>
        </w:rPr>
        <w:t xml:space="preserve">Положення «Про благоустрій населених пунктів </w:t>
      </w:r>
      <w:r>
        <w:rPr>
          <w:sz w:val="28"/>
          <w:szCs w:val="28"/>
          <w:lang w:val="uk-UA"/>
        </w:rPr>
        <w:t>Попівської сільської ради Конотопського району Сумської області</w:t>
      </w:r>
      <w:r>
        <w:rPr>
          <w:rFonts w:eastAsia="SimSun"/>
          <w:sz w:val="28"/>
          <w:szCs w:val="28"/>
          <w:lang w:val="uk-UA" w:eastAsia="zh-CN"/>
        </w:rPr>
        <w:t xml:space="preserve">» у новій редакції, затвердженого </w:t>
      </w:r>
      <w:r>
        <w:rPr>
          <w:sz w:val="28"/>
          <w:szCs w:val="28"/>
          <w:lang w:val="uk-UA"/>
        </w:rPr>
        <w:t>тридцять другою сесією Попівської сільської ради Конотопського району Сумської області восьмого скликання від 13.10.2022</w:t>
      </w:r>
      <w:r>
        <w:rPr>
          <w:rFonts w:eastAsia="SimSun"/>
          <w:sz w:val="28"/>
          <w:szCs w:val="28"/>
          <w:lang w:val="uk-UA" w:eastAsia="zh-CN"/>
        </w:rPr>
        <w:t xml:space="preserve">, Витягу </w:t>
      </w:r>
      <w:r>
        <w:rPr>
          <w:sz w:val="28"/>
          <w:szCs w:val="28"/>
          <w:lang w:val="uk-UA"/>
        </w:rPr>
        <w:t>з протоколу науково – технічної ради КЗ СОР «РЛП «Сеймський» № 27 від 19.04.2024, Тимчасового порядку видалення зелених насаджень за межами населених пунктів для потреб військових формувань на території Сумської області, затвердженого Розпорядженням керівника Сумської ОВА №432-ОД від 25.11.2022 «Про введення в дію рішення ради оборони Сумської області»,</w:t>
      </w:r>
      <w:r>
        <w:rPr>
          <w:rFonts w:eastAsia="SimSun"/>
          <w:sz w:val="28"/>
          <w:szCs w:val="28"/>
          <w:lang w:val="uk-UA" w:eastAsia="zh-CN"/>
        </w:rPr>
        <w:t xml:space="preserve">  </w:t>
      </w:r>
      <w:r>
        <w:rPr>
          <w:sz w:val="28"/>
          <w:szCs w:val="28"/>
          <w:lang w:val="uk-UA" w:eastAsia="zh-CN"/>
        </w:rPr>
        <w:t xml:space="preserve">керуючись статтею 26 Закону України «Про місцеве самоврядування в Україні», </w:t>
      </w:r>
    </w:p>
    <w:p w14:paraId="7D01A192">
      <w:pPr>
        <w:suppressAutoHyphens/>
        <w:ind w:firstLine="708"/>
        <w:jc w:val="both"/>
        <w:rPr>
          <w:bCs/>
          <w:sz w:val="28"/>
          <w:szCs w:val="28"/>
          <w:lang w:val="uk-UA" w:eastAsia="zh-CN"/>
        </w:rPr>
      </w:pPr>
      <w:r>
        <w:rPr>
          <w:bCs/>
          <w:sz w:val="28"/>
          <w:szCs w:val="28"/>
          <w:lang w:val="uk-UA" w:eastAsia="zh-CN"/>
        </w:rPr>
        <w:t>сільська рада вирішила:</w:t>
      </w:r>
    </w:p>
    <w:p w14:paraId="59605AEB">
      <w:pPr>
        <w:suppressAutoHyphens/>
        <w:ind w:firstLine="720"/>
        <w:jc w:val="both"/>
        <w:rPr>
          <w:bCs/>
          <w:sz w:val="28"/>
          <w:szCs w:val="28"/>
          <w:lang w:val="uk-UA" w:eastAsia="zh-CN"/>
        </w:rPr>
      </w:pPr>
      <w:r>
        <w:rPr>
          <w:bCs/>
          <w:sz w:val="28"/>
          <w:szCs w:val="28"/>
          <w:lang w:val="uk-UA" w:eastAsia="zh-CN"/>
        </w:rPr>
        <w:t xml:space="preserve">1. </w:t>
      </w:r>
      <w:r>
        <w:rPr>
          <w:sz w:val="28"/>
          <w:szCs w:val="28"/>
          <w:lang w:val="uk-UA" w:eastAsia="zh-CN"/>
        </w:rPr>
        <w:t>Затвердити Положення про порядок видалення зелених насаджень на території Попівської сільської ради Конотопського району Сумської області у новій редакції, (Додаток).</w:t>
      </w:r>
    </w:p>
    <w:p w14:paraId="49C9878C">
      <w:pPr>
        <w:pStyle w:val="9"/>
        <w:suppressAutoHyphens/>
        <w:ind w:left="0" w:firstLine="720"/>
        <w:jc w:val="both"/>
        <w:rPr>
          <w:sz w:val="28"/>
          <w:szCs w:val="28"/>
          <w:lang w:val="uk-UA" w:eastAsia="zh-CN"/>
        </w:rPr>
      </w:pPr>
    </w:p>
    <w:p w14:paraId="7A572A7B">
      <w:pPr>
        <w:pStyle w:val="9"/>
        <w:suppressAutoHyphens/>
        <w:ind w:left="0" w:firstLine="720"/>
        <w:jc w:val="both"/>
        <w:rPr>
          <w:sz w:val="28"/>
          <w:szCs w:val="28"/>
          <w:lang w:val="uk-UA" w:eastAsia="zh-CN"/>
        </w:rPr>
      </w:pPr>
    </w:p>
    <w:p w14:paraId="76005472">
      <w:pPr>
        <w:pStyle w:val="9"/>
        <w:suppressAutoHyphens/>
        <w:ind w:left="0" w:firstLine="720"/>
        <w:jc w:val="both"/>
        <w:rPr>
          <w:sz w:val="28"/>
          <w:szCs w:val="28"/>
          <w:lang w:val="uk-UA" w:eastAsia="zh-CN"/>
        </w:rPr>
      </w:pPr>
    </w:p>
    <w:p w14:paraId="2F4A11F3">
      <w:pPr>
        <w:pStyle w:val="9"/>
        <w:suppressAutoHyphens/>
        <w:ind w:left="0" w:firstLine="720"/>
        <w:jc w:val="both"/>
        <w:rPr>
          <w:sz w:val="28"/>
          <w:szCs w:val="28"/>
          <w:lang w:val="uk-UA" w:eastAsia="zh-CN"/>
        </w:rPr>
      </w:pPr>
    </w:p>
    <w:p w14:paraId="7907D6EE">
      <w:pPr>
        <w:pStyle w:val="9"/>
        <w:suppressAutoHyphens/>
        <w:ind w:left="0" w:firstLine="720"/>
        <w:jc w:val="both"/>
        <w:rPr>
          <w:sz w:val="28"/>
          <w:szCs w:val="28"/>
          <w:lang w:val="uk-UA" w:eastAsia="zh-CN"/>
        </w:rPr>
      </w:pPr>
      <w:r>
        <w:rPr>
          <w:sz w:val="28"/>
          <w:szCs w:val="28"/>
          <w:lang w:val="uk-UA" w:eastAsia="zh-CN"/>
        </w:rPr>
        <w:t>2. Вважати таким, що втратило чинність рішення</w:t>
      </w:r>
      <w:r>
        <w:rPr>
          <w:sz w:val="28"/>
          <w:szCs w:val="28"/>
          <w:lang w:val="uk-UA"/>
        </w:rPr>
        <w:t xml:space="preserve"> </w:t>
      </w:r>
      <w:r>
        <w:rPr>
          <w:sz w:val="28"/>
          <w:szCs w:val="28"/>
          <w:lang w:val="uk-UA" w:eastAsia="zh-CN"/>
        </w:rPr>
        <w:t>Попівської сільської ради Конотопського району Сумської області восьмого скликання «Про затвердження Положення про порядок видалення зелених насаджень на території Попівської сільської ради Конотопського району Сумської області» у новій редакції від 08.11.2024 року.</w:t>
      </w:r>
    </w:p>
    <w:p w14:paraId="60CBEC96">
      <w:pPr>
        <w:suppressAutoHyphens/>
        <w:ind w:firstLine="720"/>
        <w:jc w:val="both"/>
        <w:rPr>
          <w:sz w:val="28"/>
          <w:szCs w:val="28"/>
          <w:lang w:val="uk-UA" w:eastAsia="zh-CN"/>
        </w:rPr>
      </w:pPr>
      <w:r>
        <w:rPr>
          <w:sz w:val="28"/>
          <w:szCs w:val="28"/>
          <w:lang w:val="uk-UA" w:eastAsia="zh-CN"/>
        </w:rPr>
        <w:t>3. 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14:paraId="11A07D5B">
      <w:pPr>
        <w:suppressAutoHyphens/>
        <w:jc w:val="both"/>
        <w:rPr>
          <w:sz w:val="28"/>
          <w:szCs w:val="28"/>
          <w:lang w:val="uk-UA" w:eastAsia="zh-CN"/>
        </w:rPr>
      </w:pPr>
    </w:p>
    <w:p w14:paraId="7707B791">
      <w:pPr>
        <w:ind w:right="-142" w:firstLine="567"/>
        <w:jc w:val="both"/>
        <w:rPr>
          <w:b/>
          <w:sz w:val="28"/>
          <w:szCs w:val="28"/>
          <w:lang w:val="uk-UA" w:eastAsia="en-US"/>
        </w:rPr>
      </w:pPr>
    </w:p>
    <w:p w14:paraId="1F7BD6DC">
      <w:pPr>
        <w:shd w:val="clear" w:color="auto" w:fill="FFFFFF"/>
        <w:rPr>
          <w:b/>
          <w:sz w:val="28"/>
          <w:szCs w:val="28"/>
          <w:lang w:val="uk-UA" w:eastAsia="en-US"/>
        </w:rPr>
      </w:pPr>
      <w:r>
        <w:rPr>
          <w:b/>
          <w:sz w:val="28"/>
          <w:szCs w:val="28"/>
          <w:lang w:val="uk-UA" w:eastAsia="en-US"/>
        </w:rPr>
        <w:t>Сільський голова</w:t>
      </w:r>
      <w:r>
        <w:rPr>
          <w:b/>
          <w:sz w:val="28"/>
          <w:szCs w:val="28"/>
          <w:lang w:val="uk-UA" w:eastAsia="en-US"/>
        </w:rPr>
        <w:tab/>
      </w:r>
      <w:r>
        <w:rPr>
          <w:b/>
          <w:sz w:val="28"/>
          <w:szCs w:val="28"/>
          <w:lang w:val="uk-UA" w:eastAsia="en-US"/>
        </w:rPr>
        <w:tab/>
      </w:r>
      <w:r>
        <w:rPr>
          <w:b/>
          <w:sz w:val="28"/>
          <w:szCs w:val="28"/>
          <w:lang w:val="uk-UA" w:eastAsia="en-US"/>
        </w:rPr>
        <w:tab/>
      </w:r>
      <w:r>
        <w:rPr>
          <w:b/>
          <w:sz w:val="28"/>
          <w:szCs w:val="28"/>
          <w:lang w:val="uk-UA" w:eastAsia="en-US"/>
        </w:rPr>
        <w:t xml:space="preserve">                              Анатолій БОЯРЧУК</w:t>
      </w:r>
    </w:p>
    <w:p w14:paraId="37C34667">
      <w:pPr>
        <w:shd w:val="clear" w:color="auto" w:fill="FFFFFF"/>
        <w:rPr>
          <w:b/>
          <w:sz w:val="28"/>
          <w:szCs w:val="28"/>
          <w:lang w:val="uk-UA" w:eastAsia="en-US"/>
        </w:rPr>
      </w:pPr>
    </w:p>
    <w:p w14:paraId="23CD887F">
      <w:pPr>
        <w:shd w:val="clear" w:color="auto" w:fill="FFFFFF"/>
        <w:rPr>
          <w:b/>
          <w:sz w:val="28"/>
          <w:szCs w:val="28"/>
          <w:lang w:val="uk-UA" w:eastAsia="en-US"/>
        </w:rPr>
      </w:pPr>
    </w:p>
    <w:p w14:paraId="7EBA7D5B">
      <w:pPr>
        <w:shd w:val="clear" w:color="auto" w:fill="FFFFFF"/>
        <w:rPr>
          <w:b/>
          <w:sz w:val="28"/>
          <w:szCs w:val="28"/>
          <w:lang w:val="uk-UA" w:eastAsia="en-US"/>
        </w:rPr>
      </w:pPr>
    </w:p>
    <w:p w14:paraId="09F23903">
      <w:pPr>
        <w:shd w:val="clear" w:color="auto" w:fill="FFFFFF"/>
        <w:rPr>
          <w:b/>
          <w:sz w:val="28"/>
          <w:szCs w:val="28"/>
          <w:lang w:val="uk-UA" w:eastAsia="en-US"/>
        </w:rPr>
      </w:pPr>
    </w:p>
    <w:p w14:paraId="02AC3C5D">
      <w:pPr>
        <w:shd w:val="clear" w:color="auto" w:fill="FFFFFF"/>
        <w:rPr>
          <w:b/>
          <w:sz w:val="28"/>
          <w:szCs w:val="28"/>
          <w:lang w:val="uk-UA" w:eastAsia="en-US"/>
        </w:rPr>
      </w:pPr>
    </w:p>
    <w:p w14:paraId="05D24E86">
      <w:pPr>
        <w:shd w:val="clear" w:color="auto" w:fill="FFFFFF"/>
        <w:rPr>
          <w:b/>
          <w:sz w:val="28"/>
          <w:szCs w:val="28"/>
          <w:lang w:val="uk-UA" w:eastAsia="en-US"/>
        </w:rPr>
      </w:pPr>
    </w:p>
    <w:p w14:paraId="7228F2E6">
      <w:pPr>
        <w:shd w:val="clear" w:color="auto" w:fill="FFFFFF"/>
        <w:rPr>
          <w:b/>
          <w:sz w:val="28"/>
          <w:szCs w:val="28"/>
          <w:lang w:val="uk-UA" w:eastAsia="en-US"/>
        </w:rPr>
      </w:pPr>
    </w:p>
    <w:p w14:paraId="59BEA641">
      <w:pPr>
        <w:shd w:val="clear" w:color="auto" w:fill="FFFFFF"/>
        <w:rPr>
          <w:b/>
          <w:sz w:val="28"/>
          <w:szCs w:val="28"/>
          <w:lang w:val="uk-UA" w:eastAsia="en-US"/>
        </w:rPr>
      </w:pPr>
    </w:p>
    <w:p w14:paraId="00A3775F">
      <w:pPr>
        <w:shd w:val="clear" w:color="auto" w:fill="FFFFFF"/>
        <w:rPr>
          <w:b/>
          <w:sz w:val="28"/>
          <w:szCs w:val="28"/>
          <w:lang w:val="uk-UA" w:eastAsia="en-US"/>
        </w:rPr>
      </w:pPr>
    </w:p>
    <w:p w14:paraId="65D01689">
      <w:pPr>
        <w:shd w:val="clear" w:color="auto" w:fill="FFFFFF"/>
        <w:rPr>
          <w:b/>
          <w:sz w:val="28"/>
          <w:szCs w:val="28"/>
          <w:lang w:val="uk-UA" w:eastAsia="en-US"/>
        </w:rPr>
      </w:pPr>
    </w:p>
    <w:p w14:paraId="004CD127">
      <w:pPr>
        <w:shd w:val="clear" w:color="auto" w:fill="FFFFFF"/>
        <w:rPr>
          <w:b/>
          <w:sz w:val="28"/>
          <w:szCs w:val="28"/>
          <w:lang w:val="uk-UA" w:eastAsia="en-US"/>
        </w:rPr>
      </w:pPr>
    </w:p>
    <w:p w14:paraId="0C360FC4">
      <w:pPr>
        <w:shd w:val="clear" w:color="auto" w:fill="FFFFFF"/>
        <w:rPr>
          <w:b/>
          <w:sz w:val="28"/>
          <w:szCs w:val="28"/>
          <w:lang w:val="uk-UA" w:eastAsia="en-US"/>
        </w:rPr>
      </w:pPr>
    </w:p>
    <w:p w14:paraId="6EF3E72A">
      <w:pPr>
        <w:shd w:val="clear" w:color="auto" w:fill="FFFFFF"/>
        <w:rPr>
          <w:b/>
          <w:sz w:val="28"/>
          <w:szCs w:val="28"/>
          <w:lang w:val="uk-UA" w:eastAsia="en-US"/>
        </w:rPr>
      </w:pPr>
    </w:p>
    <w:p w14:paraId="68DB4049">
      <w:pPr>
        <w:shd w:val="clear" w:color="auto" w:fill="FFFFFF"/>
        <w:rPr>
          <w:b/>
          <w:sz w:val="28"/>
          <w:szCs w:val="28"/>
          <w:lang w:val="uk-UA" w:eastAsia="en-US"/>
        </w:rPr>
      </w:pPr>
    </w:p>
    <w:p w14:paraId="1CA15B45">
      <w:pPr>
        <w:shd w:val="clear" w:color="auto" w:fill="FFFFFF"/>
        <w:rPr>
          <w:b/>
          <w:sz w:val="28"/>
          <w:szCs w:val="28"/>
          <w:lang w:val="uk-UA" w:eastAsia="en-US"/>
        </w:rPr>
      </w:pPr>
    </w:p>
    <w:p w14:paraId="698BE67F">
      <w:pPr>
        <w:shd w:val="clear" w:color="auto" w:fill="FFFFFF"/>
        <w:rPr>
          <w:b/>
          <w:sz w:val="28"/>
          <w:szCs w:val="28"/>
          <w:lang w:val="uk-UA" w:eastAsia="en-US"/>
        </w:rPr>
      </w:pPr>
    </w:p>
    <w:p w14:paraId="0400C7DF">
      <w:pPr>
        <w:shd w:val="clear" w:color="auto" w:fill="FFFFFF"/>
        <w:rPr>
          <w:b/>
          <w:sz w:val="28"/>
          <w:szCs w:val="28"/>
          <w:lang w:val="uk-UA" w:eastAsia="en-US"/>
        </w:rPr>
      </w:pPr>
    </w:p>
    <w:p w14:paraId="25946D91">
      <w:pPr>
        <w:shd w:val="clear" w:color="auto" w:fill="FFFFFF"/>
        <w:rPr>
          <w:b/>
          <w:sz w:val="28"/>
          <w:szCs w:val="28"/>
          <w:lang w:val="uk-UA" w:eastAsia="en-US"/>
        </w:rPr>
      </w:pPr>
    </w:p>
    <w:p w14:paraId="0AD619E4">
      <w:pPr>
        <w:shd w:val="clear" w:color="auto" w:fill="FFFFFF"/>
        <w:rPr>
          <w:b/>
          <w:sz w:val="28"/>
          <w:szCs w:val="28"/>
          <w:lang w:val="uk-UA" w:eastAsia="en-US"/>
        </w:rPr>
      </w:pPr>
    </w:p>
    <w:p w14:paraId="51A93B2B">
      <w:pPr>
        <w:shd w:val="clear" w:color="auto" w:fill="FFFFFF"/>
        <w:rPr>
          <w:b/>
          <w:sz w:val="28"/>
          <w:szCs w:val="28"/>
          <w:lang w:val="uk-UA" w:eastAsia="en-US"/>
        </w:rPr>
      </w:pPr>
    </w:p>
    <w:p w14:paraId="1D66C9D5">
      <w:pPr>
        <w:shd w:val="clear" w:color="auto" w:fill="FFFFFF"/>
        <w:rPr>
          <w:b/>
          <w:sz w:val="28"/>
          <w:szCs w:val="28"/>
          <w:lang w:val="uk-UA" w:eastAsia="en-US"/>
        </w:rPr>
      </w:pPr>
    </w:p>
    <w:p w14:paraId="7D2C94A2">
      <w:pPr>
        <w:shd w:val="clear" w:color="auto" w:fill="FFFFFF"/>
        <w:rPr>
          <w:b/>
          <w:sz w:val="28"/>
          <w:szCs w:val="28"/>
          <w:lang w:val="uk-UA" w:eastAsia="en-US"/>
        </w:rPr>
      </w:pPr>
    </w:p>
    <w:p w14:paraId="45C0A6D6">
      <w:pPr>
        <w:shd w:val="clear" w:color="auto" w:fill="FFFFFF"/>
        <w:rPr>
          <w:b/>
          <w:sz w:val="28"/>
          <w:szCs w:val="28"/>
          <w:lang w:val="uk-UA" w:eastAsia="en-US"/>
        </w:rPr>
      </w:pPr>
    </w:p>
    <w:p w14:paraId="20FBD5A3">
      <w:pPr>
        <w:shd w:val="clear" w:color="auto" w:fill="FFFFFF"/>
        <w:rPr>
          <w:b/>
          <w:sz w:val="28"/>
          <w:szCs w:val="28"/>
          <w:lang w:val="uk-UA" w:eastAsia="en-US"/>
        </w:rPr>
      </w:pPr>
    </w:p>
    <w:p w14:paraId="7C2027F7">
      <w:pPr>
        <w:shd w:val="clear" w:color="auto" w:fill="FFFFFF"/>
        <w:rPr>
          <w:b/>
          <w:sz w:val="28"/>
          <w:szCs w:val="28"/>
          <w:lang w:val="uk-UA" w:eastAsia="en-US"/>
        </w:rPr>
      </w:pPr>
    </w:p>
    <w:p w14:paraId="7F6F69D3">
      <w:pPr>
        <w:shd w:val="clear" w:color="auto" w:fill="FFFFFF"/>
        <w:rPr>
          <w:b/>
          <w:sz w:val="28"/>
          <w:szCs w:val="28"/>
          <w:lang w:val="uk-UA" w:eastAsia="en-US"/>
        </w:rPr>
      </w:pPr>
    </w:p>
    <w:p w14:paraId="7CE2163A">
      <w:pPr>
        <w:shd w:val="clear" w:color="auto" w:fill="FFFFFF"/>
        <w:rPr>
          <w:b/>
          <w:sz w:val="28"/>
          <w:szCs w:val="28"/>
          <w:lang w:val="uk-UA" w:eastAsia="en-US"/>
        </w:rPr>
      </w:pPr>
    </w:p>
    <w:p w14:paraId="720DA193">
      <w:pPr>
        <w:shd w:val="clear" w:color="auto" w:fill="FFFFFF"/>
        <w:rPr>
          <w:b/>
          <w:sz w:val="28"/>
          <w:szCs w:val="28"/>
          <w:lang w:val="uk-UA" w:eastAsia="en-US"/>
        </w:rPr>
      </w:pPr>
      <w:r>
        <w:rPr>
          <w:b/>
          <w:sz w:val="28"/>
          <w:szCs w:val="28"/>
          <w:lang w:val="uk-UA" w:eastAsia="en-US"/>
        </w:rPr>
        <w:t xml:space="preserve"> </w:t>
      </w:r>
    </w:p>
    <w:p w14:paraId="7FF0877A">
      <w:pPr>
        <w:shd w:val="clear" w:color="auto" w:fill="FFFFFF"/>
        <w:rPr>
          <w:b/>
          <w:sz w:val="28"/>
          <w:szCs w:val="28"/>
          <w:lang w:val="uk-UA" w:eastAsia="en-US"/>
        </w:rPr>
      </w:pPr>
    </w:p>
    <w:p w14:paraId="4773EE14">
      <w:pPr>
        <w:jc w:val="both"/>
        <w:rPr>
          <w:lang w:val="uk-UA" w:eastAsia="en-US"/>
        </w:rPr>
      </w:pPr>
      <w:r>
        <w:rPr>
          <w:lang w:val="uk-UA" w:eastAsia="en-US"/>
        </w:rPr>
        <w:t>Тетяна МІЩЕНКО</w:t>
      </w:r>
    </w:p>
    <w:p w14:paraId="1F59F3DF">
      <w:pPr>
        <w:ind w:right="-142"/>
        <w:jc w:val="both"/>
        <w:rPr>
          <w:shd w:val="clear" w:color="auto" w:fill="FFFFFF"/>
          <w:lang w:val="uk-UA"/>
        </w:rPr>
      </w:pPr>
    </w:p>
    <w:p w14:paraId="2AF2E76B">
      <w:pPr>
        <w:ind w:right="-142"/>
        <w:jc w:val="both"/>
        <w:rPr>
          <w:lang w:val="uk-UA"/>
        </w:rPr>
      </w:pPr>
      <w:r>
        <w:rPr>
          <w:shd w:val="clear" w:color="auto" w:fill="FFFFFF"/>
          <w:lang w:val="uk-UA"/>
        </w:rPr>
        <w:t>Надіслано: до протоколу – 1, відділу</w:t>
      </w:r>
      <w:r>
        <w:rPr>
          <w:color w:val="000000"/>
          <w:lang w:val="uk-UA"/>
        </w:rPr>
        <w:t xml:space="preserve"> житлово-комунального господарства, архітектури, будівництва, транспорту та комунальної власності – 1, відділу правового забезпечення апарату-1, постійній комісії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благоустрою-1,</w:t>
      </w:r>
      <w:r>
        <w:rPr>
          <w:lang w:val="uk-UA"/>
        </w:rPr>
        <w:t xml:space="preserve"> </w:t>
      </w:r>
      <w:r>
        <w:rPr>
          <w:color w:val="000000"/>
          <w:lang w:val="uk-UA"/>
        </w:rPr>
        <w:t>управління фінансів та економіки-1,</w:t>
      </w:r>
      <w:r>
        <w:rPr>
          <w:lang w:val="uk-UA"/>
        </w:rPr>
        <w:t xml:space="preserve"> </w:t>
      </w:r>
      <w:r>
        <w:rPr>
          <w:color w:val="000000"/>
          <w:lang w:val="uk-UA"/>
        </w:rPr>
        <w:t xml:space="preserve">відділу бухгалтерського обліку, звітності та господарської діяльності апарату – 1, відділу освіти -1, Комунальним закладам </w:t>
      </w:r>
      <w:r>
        <w:rPr>
          <w:lang w:val="uk-UA" w:eastAsia="uk-UA"/>
        </w:rPr>
        <w:t>Попівської сільської ради Конотопського району Сумської області-4.</w:t>
      </w:r>
    </w:p>
    <w:p w14:paraId="1CC4F685">
      <w:pPr>
        <w:rPr>
          <w:sz w:val="28"/>
          <w:szCs w:val="28"/>
          <w:lang w:val="uk-UA"/>
        </w:rPr>
      </w:pPr>
    </w:p>
    <w:p w14:paraId="4273230F">
      <w:pPr>
        <w:ind w:left="6096"/>
        <w:rPr>
          <w:sz w:val="28"/>
          <w:szCs w:val="28"/>
          <w:lang w:val="uk-UA"/>
        </w:rPr>
      </w:pPr>
      <w:r>
        <w:rPr>
          <w:sz w:val="28"/>
          <w:szCs w:val="28"/>
          <w:lang w:val="uk-UA"/>
        </w:rPr>
        <w:t>Додаток                                                                                                                                                                                                                                                                                                   до рішення  Попівської сільської ради                                                                                  від 26.09.2025</w:t>
      </w:r>
    </w:p>
    <w:p w14:paraId="3F314479">
      <w:pPr>
        <w:jc w:val="both"/>
        <w:rPr>
          <w:color w:val="000000"/>
          <w:sz w:val="28"/>
          <w:szCs w:val="28"/>
          <w:lang w:val="uk-UA" w:eastAsia="uk-UA"/>
        </w:rPr>
      </w:pPr>
    </w:p>
    <w:p w14:paraId="3A7B7B1C">
      <w:pPr>
        <w:ind w:firstLine="709"/>
        <w:jc w:val="center"/>
        <w:rPr>
          <w:b/>
          <w:sz w:val="28"/>
          <w:szCs w:val="28"/>
          <w:lang w:val="uk-UA" w:eastAsia="zh-CN"/>
        </w:rPr>
      </w:pPr>
      <w:r>
        <w:rPr>
          <w:b/>
          <w:sz w:val="28"/>
          <w:szCs w:val="28"/>
          <w:lang w:val="uk-UA" w:eastAsia="zh-CN"/>
        </w:rPr>
        <w:t xml:space="preserve">Положення про порядок видалення зелених насаджень на території Попівської сільської ради Конотопського району Сумської області </w:t>
      </w:r>
    </w:p>
    <w:p w14:paraId="0F979D5A">
      <w:pPr>
        <w:ind w:firstLine="709"/>
        <w:jc w:val="center"/>
        <w:rPr>
          <w:b/>
          <w:sz w:val="28"/>
          <w:szCs w:val="28"/>
          <w:lang w:val="uk-UA" w:eastAsia="zh-CN"/>
        </w:rPr>
      </w:pPr>
      <w:r>
        <w:rPr>
          <w:b/>
          <w:sz w:val="28"/>
          <w:szCs w:val="28"/>
          <w:lang w:val="uk-UA" w:eastAsia="zh-CN"/>
        </w:rPr>
        <w:t>у новій редакції</w:t>
      </w:r>
    </w:p>
    <w:p w14:paraId="60DE0D8F">
      <w:pPr>
        <w:ind w:firstLine="709"/>
        <w:jc w:val="center"/>
        <w:rPr>
          <w:b/>
          <w:sz w:val="28"/>
          <w:szCs w:val="28"/>
          <w:lang w:val="uk-UA" w:eastAsia="zh-CN"/>
        </w:rPr>
      </w:pPr>
      <w:r>
        <w:rPr>
          <w:b/>
          <w:sz w:val="28"/>
          <w:szCs w:val="28"/>
          <w:lang w:val="uk-UA" w:eastAsia="zh-CN"/>
        </w:rPr>
        <w:t>(надалі – Положення)</w:t>
      </w:r>
    </w:p>
    <w:p w14:paraId="1779B8DC">
      <w:pPr>
        <w:tabs>
          <w:tab w:val="left" w:pos="6280"/>
        </w:tabs>
        <w:suppressAutoHyphens/>
        <w:ind w:firstLine="709"/>
        <w:jc w:val="center"/>
        <w:rPr>
          <w:b/>
          <w:sz w:val="28"/>
          <w:szCs w:val="28"/>
          <w:lang w:val="uk-UA" w:eastAsia="zh-CN"/>
        </w:rPr>
      </w:pPr>
    </w:p>
    <w:p w14:paraId="704B533A">
      <w:pPr>
        <w:tabs>
          <w:tab w:val="left" w:pos="6280"/>
        </w:tabs>
        <w:suppressAutoHyphens/>
        <w:ind w:firstLine="709"/>
        <w:jc w:val="both"/>
        <w:rPr>
          <w:b/>
          <w:sz w:val="28"/>
          <w:szCs w:val="28"/>
          <w:lang w:val="uk-UA" w:eastAsia="zh-CN"/>
        </w:rPr>
      </w:pPr>
      <w:r>
        <w:rPr>
          <w:b/>
          <w:sz w:val="28"/>
          <w:szCs w:val="28"/>
          <w:lang w:val="uk-UA" w:eastAsia="zh-CN"/>
        </w:rPr>
        <w:t xml:space="preserve"> І. Загальні положення</w:t>
      </w:r>
    </w:p>
    <w:p w14:paraId="2163EEA0">
      <w:pPr>
        <w:tabs>
          <w:tab w:val="left" w:pos="6280"/>
        </w:tabs>
        <w:suppressAutoHyphens/>
        <w:ind w:firstLine="709"/>
        <w:jc w:val="both"/>
        <w:rPr>
          <w:b/>
          <w:sz w:val="28"/>
          <w:szCs w:val="28"/>
          <w:lang w:val="uk-UA" w:eastAsia="zh-CN"/>
        </w:rPr>
      </w:pPr>
    </w:p>
    <w:p w14:paraId="1C45B46F">
      <w:pPr>
        <w:tabs>
          <w:tab w:val="left" w:pos="6280"/>
        </w:tabs>
        <w:suppressAutoHyphens/>
        <w:ind w:firstLine="709"/>
        <w:jc w:val="both"/>
        <w:rPr>
          <w:sz w:val="28"/>
          <w:szCs w:val="28"/>
          <w:lang w:val="uk-UA" w:eastAsia="zh-CN"/>
        </w:rPr>
      </w:pPr>
      <w:r>
        <w:rPr>
          <w:sz w:val="28"/>
          <w:szCs w:val="28"/>
          <w:lang w:val="uk-UA" w:eastAsia="zh-CN"/>
        </w:rPr>
        <w:t>1. Це Положення установлює вимоги щодо видалення зелених насаджень на території Попівської сільської ради Конотопського району Сумської області.</w:t>
      </w:r>
    </w:p>
    <w:p w14:paraId="1031850E">
      <w:pPr>
        <w:tabs>
          <w:tab w:val="left" w:pos="6280"/>
        </w:tabs>
        <w:suppressAutoHyphens/>
        <w:ind w:firstLine="709"/>
        <w:jc w:val="both"/>
        <w:rPr>
          <w:sz w:val="28"/>
          <w:szCs w:val="28"/>
          <w:lang w:val="uk-UA" w:eastAsia="zh-CN"/>
        </w:rPr>
      </w:pPr>
      <w:r>
        <w:rPr>
          <w:sz w:val="28"/>
          <w:szCs w:val="28"/>
          <w:lang w:val="uk-UA" w:eastAsia="zh-CN"/>
        </w:rPr>
        <w:t>2. У цьому Положенні терміни вживаються у значенні, наведеному в Законах України «Про місцеве самоврядування в Україні» від 21.05.1997 № 280/97-ВР, «Про архітектурну діяльність» від 20.05.1999 № 687-XIV, «Про благоустрій населених пунктів» від 06.09.2005 №2807-IV і «Про регулювання містобудівної діяльності» від 17.02.2011 № 3038-VI, «Про природно – заповідний фонд України» від 01.01.2024 №2456-Х</w:t>
      </w:r>
      <w:r>
        <w:rPr>
          <w:sz w:val="28"/>
          <w:szCs w:val="28"/>
          <w:lang w:val="en-US" w:eastAsia="zh-CN"/>
        </w:rPr>
        <w:t>II</w:t>
      </w:r>
      <w:r>
        <w:rPr>
          <w:sz w:val="28"/>
          <w:szCs w:val="28"/>
          <w:lang w:val="uk-UA" w:eastAsia="zh-CN"/>
        </w:rPr>
        <w:t>, Постанови Кабінету Міністрів України «Про затвердження Порядку видалення дерев, кущів, газонів і квітників у населених пунктах» від 01.08.2006 № 1045, Закону України «Про рослинний світ», Наказу Міністерства з питань житлово-комунального господарства України «Про затвердження Методики визначення відновної вартості зелених насаджень» 12.05.2009 № 127, Наказу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від 10.04.2006 № 105 тощо.</w:t>
      </w:r>
    </w:p>
    <w:p w14:paraId="0AD0872E">
      <w:pPr>
        <w:tabs>
          <w:tab w:val="left" w:pos="6280"/>
        </w:tabs>
        <w:suppressAutoHyphens/>
        <w:ind w:firstLine="709"/>
        <w:jc w:val="both"/>
        <w:rPr>
          <w:sz w:val="28"/>
          <w:szCs w:val="28"/>
          <w:lang w:val="uk-UA" w:eastAsia="zh-CN"/>
        </w:rPr>
      </w:pPr>
      <w:r>
        <w:rPr>
          <w:sz w:val="28"/>
          <w:szCs w:val="28"/>
          <w:lang w:val="uk-UA" w:eastAsia="zh-CN"/>
        </w:rPr>
        <w:t>3. Терміни, що вживаються у Положенні:</w:t>
      </w:r>
    </w:p>
    <w:p w14:paraId="003B52A0">
      <w:pPr>
        <w:tabs>
          <w:tab w:val="left" w:pos="6280"/>
        </w:tabs>
        <w:suppressAutoHyphens/>
        <w:ind w:firstLine="709"/>
        <w:jc w:val="both"/>
        <w:rPr>
          <w:sz w:val="28"/>
          <w:szCs w:val="28"/>
          <w:lang w:val="uk-UA" w:eastAsia="zh-CN"/>
        </w:rPr>
      </w:pPr>
      <w:r>
        <w:rPr>
          <w:sz w:val="28"/>
          <w:szCs w:val="28"/>
          <w:lang w:val="uk-UA" w:eastAsia="zh-CN"/>
        </w:rPr>
        <w:t>Аварійне дерево - це дерево, яке може становити загрозу для життя і здоров'я пішоходів, транспортних засобів, пошкодити лінії електропередач, повітряні та інші мережі, будівлі і споруди або перебуває у пошкодженому стані внаслідок снігопадів, вітролому, урагану та інших стихійних природних явищ чи за наявності гнилої серцевини стовбура, значної суховерхності, досягнення вікової межі.</w:t>
      </w:r>
    </w:p>
    <w:p w14:paraId="138A6B7D">
      <w:pPr>
        <w:tabs>
          <w:tab w:val="left" w:pos="6280"/>
        </w:tabs>
        <w:suppressAutoHyphens/>
        <w:ind w:firstLine="709"/>
        <w:jc w:val="both"/>
        <w:rPr>
          <w:sz w:val="28"/>
          <w:szCs w:val="28"/>
          <w:lang w:val="uk-UA" w:eastAsia="zh-CN"/>
        </w:rPr>
      </w:pPr>
      <w:r>
        <w:rPr>
          <w:sz w:val="28"/>
          <w:szCs w:val="28"/>
          <w:lang w:val="uk-UA" w:eastAsia="zh-CN"/>
        </w:rPr>
        <w:t>Видалення зелених насаджень – це роботи, що включають фактичне видалення (знесення), обрізування та пересаджування зелених насаджень у тому числі гілок дерев, включаючи витрати на супровідні роботи та послуги роботи.</w:t>
      </w:r>
    </w:p>
    <w:p w14:paraId="0F84EE52">
      <w:pPr>
        <w:tabs>
          <w:tab w:val="left" w:pos="6280"/>
        </w:tabs>
        <w:suppressAutoHyphens/>
        <w:ind w:firstLine="709"/>
        <w:jc w:val="both"/>
        <w:rPr>
          <w:sz w:val="28"/>
          <w:szCs w:val="28"/>
          <w:lang w:val="uk-UA" w:eastAsia="zh-CN"/>
        </w:rPr>
      </w:pPr>
      <w:r>
        <w:rPr>
          <w:sz w:val="28"/>
          <w:szCs w:val="28"/>
          <w:lang w:val="uk-UA" w:eastAsia="zh-CN"/>
        </w:rPr>
        <w:t>Відновна вартість зелених насаджень  -  це вартість, яка визначає їхню цінність, включаючи витрати на відновлення.</w:t>
      </w:r>
    </w:p>
    <w:p w14:paraId="6F28F293">
      <w:pPr>
        <w:tabs>
          <w:tab w:val="left" w:pos="6280"/>
        </w:tabs>
        <w:suppressAutoHyphens/>
        <w:ind w:firstLine="709"/>
        <w:jc w:val="both"/>
        <w:rPr>
          <w:sz w:val="28"/>
          <w:szCs w:val="28"/>
          <w:lang w:val="uk-UA" w:eastAsia="zh-CN"/>
        </w:rPr>
      </w:pPr>
      <w:r>
        <w:rPr>
          <w:sz w:val="28"/>
          <w:szCs w:val="28"/>
          <w:lang w:val="uk-UA" w:eastAsia="zh-CN"/>
        </w:rPr>
        <w:t>Власники земельних ділянок - це юридичні  та  фізичні  особи, які мають документ на право власності на земельну ділянку.</w:t>
      </w:r>
    </w:p>
    <w:p w14:paraId="3117229C">
      <w:pPr>
        <w:tabs>
          <w:tab w:val="left" w:pos="6280"/>
        </w:tabs>
        <w:suppressAutoHyphens/>
        <w:ind w:firstLine="709"/>
        <w:jc w:val="both"/>
        <w:rPr>
          <w:sz w:val="28"/>
          <w:szCs w:val="28"/>
          <w:lang w:val="uk-UA" w:eastAsia="zh-CN"/>
        </w:rPr>
      </w:pPr>
      <w:r>
        <w:rPr>
          <w:sz w:val="28"/>
          <w:szCs w:val="28"/>
          <w:lang w:val="uk-UA" w:eastAsia="zh-CN"/>
        </w:rPr>
        <w:t>Зелені насадження - деревна, чагарникова, квіткова та трав'яна рослинність природного і штучного походження на визначеній території населеного пункту.</w:t>
      </w:r>
    </w:p>
    <w:p w14:paraId="2DFF13C7">
      <w:pPr>
        <w:tabs>
          <w:tab w:val="left" w:pos="6280"/>
        </w:tabs>
        <w:suppressAutoHyphens/>
        <w:ind w:firstLine="709"/>
        <w:jc w:val="both"/>
        <w:rPr>
          <w:sz w:val="28"/>
          <w:szCs w:val="28"/>
          <w:lang w:val="uk-UA" w:eastAsia="zh-CN"/>
        </w:rPr>
      </w:pPr>
    </w:p>
    <w:p w14:paraId="6EDE048A">
      <w:pPr>
        <w:tabs>
          <w:tab w:val="left" w:pos="6280"/>
        </w:tabs>
        <w:suppressAutoHyphens/>
        <w:ind w:firstLine="709"/>
        <w:jc w:val="both"/>
        <w:rPr>
          <w:sz w:val="28"/>
          <w:szCs w:val="28"/>
          <w:lang w:val="uk-UA" w:eastAsia="zh-CN"/>
        </w:rPr>
      </w:pPr>
      <w:r>
        <w:rPr>
          <w:sz w:val="28"/>
          <w:szCs w:val="28"/>
          <w:lang w:val="uk-UA" w:eastAsia="zh-CN"/>
        </w:rPr>
        <w:t>Користувачі земельних ділянок - фізичні чи юридичні особи, які взяли земельну ділянку в довгострокову оренду або користування ними.</w:t>
      </w:r>
    </w:p>
    <w:p w14:paraId="7E3782A1">
      <w:pPr>
        <w:tabs>
          <w:tab w:val="left" w:pos="6280"/>
        </w:tabs>
        <w:suppressAutoHyphens/>
        <w:ind w:firstLine="709"/>
        <w:jc w:val="both"/>
        <w:rPr>
          <w:sz w:val="28"/>
          <w:szCs w:val="28"/>
          <w:lang w:val="uk-UA" w:eastAsia="zh-CN"/>
        </w:rPr>
      </w:pPr>
      <w:r>
        <w:rPr>
          <w:sz w:val="28"/>
          <w:szCs w:val="28"/>
          <w:lang w:val="uk-UA" w:eastAsia="zh-CN"/>
        </w:rPr>
        <w:t>Присадибна ділянка -  це  ділянка  землі,  що  передається  у власність громадян для обслуговування житлового будинку.</w:t>
      </w:r>
    </w:p>
    <w:p w14:paraId="3986862C">
      <w:pPr>
        <w:tabs>
          <w:tab w:val="left" w:pos="6280"/>
        </w:tabs>
        <w:suppressAutoHyphens/>
        <w:ind w:firstLine="709"/>
        <w:jc w:val="both"/>
        <w:rPr>
          <w:sz w:val="28"/>
          <w:szCs w:val="28"/>
          <w:lang w:val="uk-UA" w:eastAsia="zh-CN"/>
        </w:rPr>
      </w:pPr>
      <w:r>
        <w:rPr>
          <w:sz w:val="28"/>
          <w:szCs w:val="28"/>
          <w:lang w:val="uk-UA" w:eastAsia="zh-CN"/>
        </w:rPr>
        <w:t>Сухостійне дерево – це висохле дерево, що стоїть на кореню цього дерева.</w:t>
      </w:r>
    </w:p>
    <w:p w14:paraId="69A8FC98">
      <w:pPr>
        <w:tabs>
          <w:tab w:val="left" w:pos="6280"/>
        </w:tabs>
        <w:suppressAutoHyphens/>
        <w:ind w:firstLine="709"/>
        <w:jc w:val="both"/>
        <w:rPr>
          <w:sz w:val="28"/>
          <w:szCs w:val="28"/>
          <w:lang w:val="uk-UA" w:eastAsia="zh-CN"/>
        </w:rPr>
      </w:pPr>
      <w:r>
        <w:rPr>
          <w:sz w:val="28"/>
          <w:szCs w:val="28"/>
          <w:lang w:val="uk-UA" w:eastAsia="zh-CN"/>
        </w:rPr>
        <w:t>Фаутне дерево – це дерево з пошкодженнями та дефектами стовбуру різного походження (у тому числі від хвороби та шкідників).</w:t>
      </w:r>
    </w:p>
    <w:p w14:paraId="38C261CF">
      <w:pPr>
        <w:tabs>
          <w:tab w:val="left" w:pos="6280"/>
        </w:tabs>
        <w:suppressAutoHyphens/>
        <w:ind w:firstLine="709"/>
        <w:jc w:val="both"/>
        <w:rPr>
          <w:sz w:val="28"/>
          <w:szCs w:val="28"/>
          <w:lang w:val="uk-UA" w:eastAsia="zh-CN"/>
        </w:rPr>
      </w:pPr>
    </w:p>
    <w:p w14:paraId="4DE6C0CF">
      <w:pPr>
        <w:tabs>
          <w:tab w:val="left" w:pos="6280"/>
        </w:tabs>
        <w:suppressAutoHyphens/>
        <w:ind w:firstLine="709"/>
        <w:jc w:val="both"/>
        <w:rPr>
          <w:b/>
          <w:sz w:val="28"/>
          <w:szCs w:val="28"/>
          <w:lang w:val="uk-UA" w:eastAsia="zh-CN"/>
        </w:rPr>
      </w:pPr>
      <w:r>
        <w:rPr>
          <w:b/>
          <w:sz w:val="28"/>
          <w:szCs w:val="28"/>
          <w:lang w:val="uk-UA" w:eastAsia="zh-CN"/>
        </w:rPr>
        <w:t>ІІ. Порядок видалення зелених насаджень на території Попівської сільської ради Конотопського району Сумської області</w:t>
      </w:r>
    </w:p>
    <w:p w14:paraId="606281DA">
      <w:pPr>
        <w:tabs>
          <w:tab w:val="left" w:pos="6280"/>
        </w:tabs>
        <w:suppressAutoHyphens/>
        <w:ind w:firstLine="709"/>
        <w:jc w:val="both"/>
        <w:rPr>
          <w:b/>
          <w:sz w:val="28"/>
          <w:szCs w:val="28"/>
          <w:lang w:val="uk-UA" w:eastAsia="zh-CN"/>
        </w:rPr>
      </w:pPr>
    </w:p>
    <w:p w14:paraId="2B8A28D2">
      <w:pPr>
        <w:tabs>
          <w:tab w:val="left" w:pos="6280"/>
        </w:tabs>
        <w:suppressAutoHyphens/>
        <w:ind w:firstLine="709"/>
        <w:jc w:val="both"/>
        <w:rPr>
          <w:sz w:val="28"/>
          <w:szCs w:val="28"/>
          <w:lang w:val="uk-UA" w:eastAsia="zh-CN"/>
        </w:rPr>
      </w:pPr>
      <w:r>
        <w:rPr>
          <w:sz w:val="28"/>
          <w:szCs w:val="28"/>
          <w:lang w:val="uk-UA" w:eastAsia="zh-CN"/>
        </w:rPr>
        <w:t>Цей розділ Положення визначає порядок видалення дерев, кущів, газонів і квітників на території Попівської сільської ради Конотопського району Сумської області та вимоги до взаємодії установ та організацій Попівської сільської ради Конотопського району Сумської області (далі Попівської сільської ради) органів  виконавчої влади та громадськості при такій процедурі.</w:t>
      </w:r>
    </w:p>
    <w:p w14:paraId="6C5354D6">
      <w:pPr>
        <w:tabs>
          <w:tab w:val="left" w:pos="6280"/>
        </w:tabs>
        <w:suppressAutoHyphens/>
        <w:ind w:firstLine="709"/>
        <w:jc w:val="both"/>
        <w:rPr>
          <w:sz w:val="28"/>
          <w:szCs w:val="28"/>
          <w:lang w:val="uk-UA" w:eastAsia="zh-CN"/>
        </w:rPr>
      </w:pPr>
    </w:p>
    <w:p w14:paraId="0A70EDA7">
      <w:pPr>
        <w:tabs>
          <w:tab w:val="left" w:pos="6280"/>
        </w:tabs>
        <w:suppressAutoHyphens/>
        <w:ind w:firstLine="709"/>
        <w:jc w:val="both"/>
        <w:rPr>
          <w:b/>
          <w:sz w:val="28"/>
          <w:szCs w:val="28"/>
          <w:lang w:val="uk-UA" w:eastAsia="zh-CN"/>
        </w:rPr>
      </w:pPr>
      <w:r>
        <w:rPr>
          <w:b/>
          <w:sz w:val="28"/>
          <w:szCs w:val="28"/>
          <w:lang w:val="uk-UA" w:eastAsia="zh-CN"/>
        </w:rPr>
        <w:t>1. Підстави та умови для здійснення видалення зелених насаджень</w:t>
      </w:r>
    </w:p>
    <w:p w14:paraId="1DD513A8">
      <w:pPr>
        <w:tabs>
          <w:tab w:val="left" w:pos="6280"/>
        </w:tabs>
        <w:suppressAutoHyphens/>
        <w:ind w:firstLine="709"/>
        <w:jc w:val="both"/>
        <w:rPr>
          <w:sz w:val="28"/>
          <w:szCs w:val="28"/>
          <w:lang w:val="uk-UA" w:eastAsia="zh-CN"/>
        </w:rPr>
      </w:pPr>
    </w:p>
    <w:p w14:paraId="2DB576C7">
      <w:pPr>
        <w:tabs>
          <w:tab w:val="left" w:pos="6280"/>
        </w:tabs>
        <w:suppressAutoHyphens/>
        <w:ind w:firstLine="709"/>
        <w:jc w:val="both"/>
        <w:rPr>
          <w:sz w:val="28"/>
          <w:szCs w:val="28"/>
          <w:lang w:val="uk-UA" w:eastAsia="zh-CN"/>
        </w:rPr>
      </w:pPr>
      <w:r>
        <w:rPr>
          <w:sz w:val="28"/>
          <w:szCs w:val="28"/>
          <w:lang w:val="uk-UA" w:eastAsia="zh-CN"/>
        </w:rPr>
        <w:t>1.1. Видалення зелених насаджень здійснюється у разі:</w:t>
      </w:r>
    </w:p>
    <w:p w14:paraId="520732BA">
      <w:pPr>
        <w:tabs>
          <w:tab w:val="left" w:pos="6280"/>
        </w:tabs>
        <w:suppressAutoHyphens/>
        <w:ind w:firstLine="709"/>
        <w:jc w:val="both"/>
        <w:rPr>
          <w:sz w:val="28"/>
          <w:szCs w:val="28"/>
          <w:lang w:val="uk-UA" w:eastAsia="zh-CN"/>
        </w:rPr>
      </w:pPr>
      <w:r>
        <w:rPr>
          <w:sz w:val="28"/>
          <w:szCs w:val="28"/>
          <w:lang w:val="uk-UA" w:eastAsia="zh-CN"/>
        </w:rPr>
        <w:t>виконання підготовчих і будівельних робіт на об’єктах відповідно до статей 35-37 Закону України «Про регулювання містобудівної діяльності»;</w:t>
      </w:r>
    </w:p>
    <w:p w14:paraId="2D0790B8">
      <w:pPr>
        <w:tabs>
          <w:tab w:val="left" w:pos="6280"/>
        </w:tabs>
        <w:suppressAutoHyphens/>
        <w:ind w:firstLine="709"/>
        <w:jc w:val="both"/>
        <w:rPr>
          <w:sz w:val="28"/>
          <w:szCs w:val="28"/>
          <w:lang w:val="uk-UA" w:eastAsia="zh-CN"/>
        </w:rPr>
      </w:pPr>
      <w:r>
        <w:rPr>
          <w:sz w:val="28"/>
          <w:szCs w:val="28"/>
          <w:lang w:val="uk-UA" w:eastAsia="zh-CN"/>
        </w:rPr>
        <w:t>знесення аварійних, сухостійних і фаутних дерев, а також самосійних і порослевих дерев з діаметром кореневої шийки не більш як 5 сантиметрів;</w:t>
      </w:r>
    </w:p>
    <w:p w14:paraId="2F6E694B">
      <w:pPr>
        <w:tabs>
          <w:tab w:val="left" w:pos="6280"/>
        </w:tabs>
        <w:suppressAutoHyphens/>
        <w:ind w:firstLine="709"/>
        <w:jc w:val="both"/>
        <w:rPr>
          <w:sz w:val="28"/>
          <w:szCs w:val="28"/>
          <w:lang w:val="uk-UA" w:eastAsia="zh-CN"/>
        </w:rPr>
      </w:pPr>
      <w:r>
        <w:rPr>
          <w:sz w:val="28"/>
          <w:szCs w:val="28"/>
          <w:lang w:val="uk-UA" w:eastAsia="zh-CN"/>
        </w:rPr>
        <w:t>ліквідації аварійної ситуації на інженерних та інших мережах на території</w:t>
      </w:r>
      <w:bookmarkStart w:id="0" w:name="__DdeLink__4977_490379878"/>
      <w:bookmarkEnd w:id="0"/>
      <w:r>
        <w:rPr>
          <w:sz w:val="28"/>
          <w:szCs w:val="28"/>
          <w:lang w:val="uk-UA" w:eastAsia="zh-CN"/>
        </w:rPr>
        <w:t xml:space="preserve"> Попівської сільської ради;</w:t>
      </w:r>
    </w:p>
    <w:p w14:paraId="1C6ADB16">
      <w:pPr>
        <w:tabs>
          <w:tab w:val="left" w:pos="6280"/>
        </w:tabs>
        <w:suppressAutoHyphens/>
        <w:ind w:firstLine="709"/>
        <w:jc w:val="both"/>
        <w:rPr>
          <w:sz w:val="28"/>
          <w:szCs w:val="28"/>
          <w:lang w:val="uk-UA" w:eastAsia="zh-CN"/>
        </w:rPr>
      </w:pPr>
      <w:r>
        <w:rPr>
          <w:sz w:val="28"/>
          <w:szCs w:val="28"/>
          <w:lang w:val="uk-UA" w:eastAsia="zh-CN"/>
        </w:rPr>
        <w:t>відновлення світлового режиму в житловому приміщенні, що затіняється деревами;</w:t>
      </w:r>
    </w:p>
    <w:p w14:paraId="13A9920F">
      <w:pPr>
        <w:tabs>
          <w:tab w:val="left" w:pos="6280"/>
        </w:tabs>
        <w:suppressAutoHyphens/>
        <w:ind w:firstLine="709"/>
        <w:jc w:val="both"/>
        <w:rPr>
          <w:sz w:val="28"/>
          <w:szCs w:val="28"/>
          <w:lang w:val="uk-UA" w:eastAsia="zh-CN"/>
        </w:rPr>
      </w:pPr>
      <w:r>
        <w:rPr>
          <w:sz w:val="28"/>
          <w:szCs w:val="28"/>
          <w:lang w:val="uk-UA" w:eastAsia="zh-CN"/>
        </w:rPr>
        <w:t>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14:paraId="45B18D38">
      <w:pPr>
        <w:tabs>
          <w:tab w:val="left" w:pos="6280"/>
        </w:tabs>
        <w:suppressAutoHyphens/>
        <w:ind w:firstLine="709"/>
        <w:jc w:val="both"/>
        <w:rPr>
          <w:sz w:val="28"/>
          <w:szCs w:val="28"/>
          <w:lang w:val="uk-UA" w:eastAsia="zh-CN"/>
        </w:rPr>
      </w:pPr>
      <w:r>
        <w:rPr>
          <w:sz w:val="28"/>
          <w:szCs w:val="28"/>
          <w:lang w:val="uk-UA" w:eastAsia="zh-CN"/>
        </w:rPr>
        <w:t>досягнення деревом вікової межі;</w:t>
      </w:r>
    </w:p>
    <w:p w14:paraId="21A91134">
      <w:pPr>
        <w:tabs>
          <w:tab w:val="left" w:pos="6280"/>
        </w:tabs>
        <w:suppressAutoHyphens/>
        <w:ind w:firstLine="709"/>
        <w:jc w:val="both"/>
        <w:rPr>
          <w:sz w:val="28"/>
          <w:szCs w:val="28"/>
          <w:lang w:val="uk-UA" w:eastAsia="zh-CN"/>
        </w:rPr>
      </w:pPr>
      <w:r>
        <w:rPr>
          <w:sz w:val="28"/>
          <w:szCs w:val="28"/>
          <w:lang w:val="uk-UA" w:eastAsia="zh-CN"/>
        </w:rPr>
        <w:t>провадження господарської діяльності на території розсадників з вирощування декоративних дерев та кущів;</w:t>
      </w:r>
    </w:p>
    <w:p w14:paraId="1E49CCC0">
      <w:pPr>
        <w:tabs>
          <w:tab w:val="left" w:pos="6280"/>
        </w:tabs>
        <w:suppressAutoHyphens/>
        <w:ind w:firstLine="709"/>
        <w:jc w:val="both"/>
        <w:rPr>
          <w:sz w:val="28"/>
          <w:szCs w:val="28"/>
          <w:lang w:val="uk-UA" w:eastAsia="zh-CN"/>
        </w:rPr>
      </w:pPr>
      <w:bookmarkStart w:id="1" w:name="__DdeLink__5045_490379878"/>
      <w:r>
        <w:rPr>
          <w:sz w:val="28"/>
          <w:szCs w:val="28"/>
          <w:lang w:val="uk-UA" w:eastAsia="zh-CN"/>
        </w:rPr>
        <w:t>ліквідації наслідків стихійного лиха, аварійної та надзвичайної ситуації</w:t>
      </w:r>
      <w:bookmarkEnd w:id="1"/>
      <w:r>
        <w:rPr>
          <w:sz w:val="28"/>
          <w:szCs w:val="28"/>
          <w:lang w:val="uk-UA" w:eastAsia="zh-CN"/>
        </w:rPr>
        <w:t>.</w:t>
      </w:r>
    </w:p>
    <w:p w14:paraId="16728F47">
      <w:pPr>
        <w:tabs>
          <w:tab w:val="left" w:pos="6280"/>
        </w:tabs>
        <w:suppressAutoHyphens/>
        <w:ind w:firstLine="709"/>
        <w:jc w:val="both"/>
        <w:rPr>
          <w:sz w:val="28"/>
          <w:szCs w:val="28"/>
          <w:lang w:val="uk-UA" w:eastAsia="zh-CN"/>
        </w:rPr>
      </w:pPr>
      <w:r>
        <w:rPr>
          <w:sz w:val="28"/>
          <w:szCs w:val="28"/>
          <w:lang w:val="uk-UA" w:eastAsia="zh-CN"/>
        </w:rPr>
        <w:t>1.2. Видалення зелених насаджень на території Попівської сільської ради здійснюється:</w:t>
      </w:r>
    </w:p>
    <w:p w14:paraId="000C496A">
      <w:pPr>
        <w:tabs>
          <w:tab w:val="left" w:pos="6280"/>
        </w:tabs>
        <w:suppressAutoHyphens/>
        <w:ind w:firstLine="709"/>
        <w:jc w:val="both"/>
        <w:rPr>
          <w:sz w:val="28"/>
          <w:szCs w:val="28"/>
          <w:lang w:val="uk-UA" w:eastAsia="zh-CN"/>
        </w:rPr>
      </w:pPr>
      <w:r>
        <w:rPr>
          <w:sz w:val="28"/>
          <w:szCs w:val="28"/>
          <w:lang w:val="uk-UA" w:eastAsia="zh-CN"/>
        </w:rPr>
        <w:t>за рішенням виконавчого комітету Попівської сільської ради Конотопського району Сумської області (далі - Компетентний орган), на підставі ордера крім випадків передбачених пунктами 7-10 Порядку видалення дерев, кущів, газонів і квітників у населених пунктах», затверджених постановою Кабінету Міністрів України № 1045 від 01.08.2006 (зі змінами);</w:t>
      </w:r>
    </w:p>
    <w:p w14:paraId="50A7B877">
      <w:pPr>
        <w:tabs>
          <w:tab w:val="left" w:pos="6280"/>
        </w:tabs>
        <w:suppressAutoHyphens/>
        <w:ind w:firstLine="709"/>
        <w:jc w:val="both"/>
        <w:rPr>
          <w:sz w:val="28"/>
          <w:szCs w:val="28"/>
          <w:lang w:val="uk-UA" w:eastAsia="zh-CN"/>
        </w:rPr>
      </w:pPr>
      <w:r>
        <w:rPr>
          <w:sz w:val="28"/>
          <w:szCs w:val="28"/>
          <w:lang w:val="uk-UA" w:eastAsia="zh-CN"/>
        </w:rPr>
        <w:t>на підставі документів, визначених статями 35-37 Закону України «Про регулювання містобудівної діяльності»;</w:t>
      </w:r>
    </w:p>
    <w:p w14:paraId="27785000">
      <w:pPr>
        <w:tabs>
          <w:tab w:val="left" w:pos="6280"/>
        </w:tabs>
        <w:suppressAutoHyphens/>
        <w:ind w:firstLine="709"/>
        <w:jc w:val="both"/>
        <w:rPr>
          <w:sz w:val="28"/>
          <w:szCs w:val="28"/>
          <w:lang w:val="uk-UA" w:eastAsia="zh-CN"/>
        </w:rPr>
      </w:pPr>
      <w:r>
        <w:rPr>
          <w:sz w:val="28"/>
          <w:szCs w:val="28"/>
          <w:lang w:val="uk-UA" w:eastAsia="zh-CN"/>
        </w:rPr>
        <w:t>на підставі акту обстеження зелених насаджень без підстав для наявності ордеру.</w:t>
      </w:r>
    </w:p>
    <w:p w14:paraId="5A5B70E8">
      <w:pPr>
        <w:tabs>
          <w:tab w:val="left" w:pos="6280"/>
        </w:tabs>
        <w:suppressAutoHyphens/>
        <w:ind w:firstLine="709"/>
        <w:jc w:val="both"/>
        <w:rPr>
          <w:sz w:val="28"/>
          <w:szCs w:val="28"/>
          <w:lang w:val="uk-UA" w:eastAsia="zh-CN"/>
        </w:rPr>
      </w:pPr>
      <w:r>
        <w:rPr>
          <w:sz w:val="28"/>
          <w:szCs w:val="28"/>
          <w:lang w:val="uk-UA" w:eastAsia="zh-CN"/>
        </w:rPr>
        <w:t>Документи, що дають право на виконання підготовчих та будівельних робіт, отримані відповідно до Закону України "Про регулювання містобудівної діяльності", є підставою для видалення зелених насаджень після обстеження земельної ділянки та складання акта обстеження зелених насаджень, що підлягають видаленню. У цьому разі видалення зелених насаджень не потребує дозволу (ордера). Відновна вартість визначається на підставі акта обстеження зелених насаджень, що підлягають видаленню, та сплачується до прийняття об’єкта в експлуатацію. Розмір відновної вартості видалених зелених насаджень зменшується на суму, передбачену проектною документацією на озеленення території.</w:t>
      </w:r>
    </w:p>
    <w:p w14:paraId="08894A6B">
      <w:pPr>
        <w:tabs>
          <w:tab w:val="left" w:pos="6280"/>
        </w:tabs>
        <w:suppressAutoHyphens/>
        <w:ind w:firstLine="709"/>
        <w:jc w:val="both"/>
        <w:rPr>
          <w:sz w:val="28"/>
          <w:szCs w:val="28"/>
          <w:lang w:val="uk-UA" w:eastAsia="zh-CN"/>
        </w:rPr>
      </w:pPr>
      <w:r>
        <w:rPr>
          <w:sz w:val="28"/>
          <w:szCs w:val="28"/>
          <w:lang w:val="uk-UA" w:eastAsia="zh-CN"/>
        </w:rPr>
        <w:t>За наявності дозволу на виконання будівельних робіт отримання замовником та генеральним підрядником чи підрядником (якщо будівельні роботи виконуються без залучення субпідрядників) інших документів дозвільного характеру для видалення зелених насаджень у межах будівельного майданчика не вимагається.</w:t>
      </w:r>
    </w:p>
    <w:p w14:paraId="56919F48">
      <w:pPr>
        <w:tabs>
          <w:tab w:val="left" w:pos="6280"/>
        </w:tabs>
        <w:suppressAutoHyphens/>
        <w:ind w:firstLine="709"/>
        <w:jc w:val="both"/>
        <w:rPr>
          <w:sz w:val="28"/>
          <w:szCs w:val="28"/>
          <w:lang w:val="uk-UA" w:eastAsia="zh-CN"/>
        </w:rPr>
      </w:pPr>
      <w:r>
        <w:rPr>
          <w:sz w:val="28"/>
          <w:szCs w:val="28"/>
          <w:lang w:val="uk-UA" w:eastAsia="zh-CN"/>
        </w:rPr>
        <w:t>1.3. Підставою для прийняття рішення компетентним органом та видачі ордеру є заява про видалення зелених насаджень суб’єкта господарювання (далі - заявник), подана у паперовій або електронній формі із зазначенням причини (необхідності) видалення зелених насаджень, що надійшла до Компетентного органу. Заява повинна містити: найменування компетентного органу, до якого вона подається; відомості, достатні для встановлення особи заявника, його контактні дані (прізвище, власне ім’я, по батькові (за наявності) або найменування особи, адреса місця проживання/перебування, місцезнаходження, номер засобу зв’язку, адреса електронної пошти, інші контактні дані).</w:t>
      </w:r>
    </w:p>
    <w:p w14:paraId="7FE48CCD">
      <w:pPr>
        <w:tabs>
          <w:tab w:val="left" w:pos="6280"/>
        </w:tabs>
        <w:suppressAutoHyphens/>
        <w:ind w:firstLine="709"/>
        <w:jc w:val="both"/>
        <w:rPr>
          <w:sz w:val="28"/>
          <w:szCs w:val="28"/>
          <w:lang w:val="uk-UA" w:eastAsia="zh-CN"/>
        </w:rPr>
      </w:pPr>
      <w:r>
        <w:rPr>
          <w:sz w:val="28"/>
          <w:szCs w:val="28"/>
          <w:lang w:val="uk-UA" w:eastAsia="zh-CN"/>
        </w:rPr>
        <w:t xml:space="preserve">Після надходження заяви сільській голова своїм розпорядженням утворює комісію з обстеження зелених насаджень (далі - Комісія), до складу якої обов’язково входять власник (його представник) земельної ділянки (користувач), представники Компетентного органу, представник територіального органу Держекоінспекції (за згодою), представник балансоутримувача території, що здійснює утримання зелених насаджень, представники заявника (за згодою), та, за потреби, представники інших уповноважених органів та установ (за згодою). </w:t>
      </w:r>
    </w:p>
    <w:p w14:paraId="7EC88F72">
      <w:pPr>
        <w:ind w:firstLine="709"/>
        <w:jc w:val="both"/>
        <w:rPr>
          <w:sz w:val="28"/>
          <w:szCs w:val="28"/>
          <w:lang w:val="uk-UA"/>
        </w:rPr>
      </w:pPr>
      <w:r>
        <w:rPr>
          <w:sz w:val="28"/>
          <w:szCs w:val="28"/>
          <w:lang w:val="uk-UA"/>
        </w:rPr>
        <w:t>Під час формування складу Комісії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протягом двох робочих днів після надходження заяви надсилає запити до територіального органу Держекоінспекції, власника земельної ділянки (користувача), балансоутримувача території, що здійснює утримання зелених насаджень, та інших членів комісії щодо можливості їх участі в роботі Комісії.</w:t>
      </w:r>
    </w:p>
    <w:p w14:paraId="7D9F0823">
      <w:pPr>
        <w:ind w:firstLine="709"/>
        <w:jc w:val="both"/>
        <w:rPr>
          <w:sz w:val="28"/>
          <w:szCs w:val="28"/>
          <w:lang w:val="uk-UA"/>
        </w:rPr>
      </w:pPr>
      <w:r>
        <w:rPr>
          <w:sz w:val="28"/>
          <w:szCs w:val="28"/>
          <w:lang w:val="uk-UA"/>
        </w:rPr>
        <w:t>Територіальний орган Держекоінспекції та заінтересовані організації протягом п’яти робочих днів після надходження запиту надсилають до виконавчого комітету Попівської сільської ради Конотопського району Сумської області в письмовій формі повідомлення про включення свого представника до складу Комісії. Після надходження повідомлень сільській голова своїм розпорядженням протягом трьох робочих днів затверджує склад Комісії. У разі надходження повідомлень про відмову від участі представників територіального органу Держекоінспекції та заінтересованих організацій склад Комісії затверджується без таких представників. Не надходження відповіді у зазначений термін вважається відмовою від участі в роботі комісії.</w:t>
      </w:r>
    </w:p>
    <w:p w14:paraId="398B3E54">
      <w:pPr>
        <w:ind w:firstLine="709"/>
        <w:jc w:val="both"/>
        <w:rPr>
          <w:sz w:val="28"/>
          <w:szCs w:val="28"/>
          <w:lang w:val="uk-UA"/>
        </w:rPr>
      </w:pPr>
    </w:p>
    <w:p w14:paraId="717EA084">
      <w:pPr>
        <w:ind w:firstLine="709"/>
        <w:jc w:val="both"/>
        <w:rPr>
          <w:sz w:val="28"/>
          <w:szCs w:val="28"/>
          <w:lang w:val="uk-UA"/>
        </w:rPr>
      </w:pPr>
      <w:r>
        <w:rPr>
          <w:sz w:val="28"/>
          <w:szCs w:val="28"/>
          <w:lang w:val="uk-UA"/>
        </w:rPr>
        <w:t>У процесі визначення стану зелених насаджень та відновної вартості зелених насаджень, які видаляються на підставі одного з документів, визначених статтями 35-37 Закону України «Про регулювання містобудівної діяльності», до складу Комісії включається представник фізичної або юридичної особи, яка має намір щодо забудови території. Комісія протягом п’яти робочих днів після її затвердження обстежує зелені насадження, розташовані на земельній ділянці, і в разі потреби визначає їх відновну вартість та складає акт обстеження тих насаджень, що підлягають видаленню (далі - акт), за формою, що додається до Положення (Додаток 1).</w:t>
      </w:r>
    </w:p>
    <w:p w14:paraId="3DEB087E">
      <w:pPr>
        <w:ind w:firstLine="709"/>
        <w:jc w:val="both"/>
        <w:rPr>
          <w:sz w:val="28"/>
          <w:szCs w:val="28"/>
          <w:lang w:val="uk-UA"/>
        </w:rPr>
      </w:pPr>
      <w:r>
        <w:rPr>
          <w:sz w:val="28"/>
          <w:szCs w:val="28"/>
          <w:lang w:val="uk-UA"/>
        </w:rPr>
        <w:t>У разі виявлення та прийняття рішення про знесення аварійних, сухостійних і фаутних дерев, або дерев, що досягли вікової межі чи перешкоджають використання земельної ділянки за призначенням - Комісія з’ясовує причину набуття деревами такого стану, про яку зазначається в складеному Комісією акті.</w:t>
      </w:r>
    </w:p>
    <w:p w14:paraId="51EEEBE9">
      <w:pPr>
        <w:ind w:firstLine="709"/>
        <w:jc w:val="both"/>
        <w:rPr>
          <w:sz w:val="28"/>
          <w:szCs w:val="28"/>
          <w:lang w:val="uk-UA"/>
        </w:rPr>
      </w:pPr>
      <w:r>
        <w:rPr>
          <w:sz w:val="28"/>
          <w:szCs w:val="28"/>
          <w:lang w:val="uk-UA"/>
        </w:rPr>
        <w:t xml:space="preserve">При складанні акту Комісія обов’язково робить фотофіксацію зелених насаджень, які підлягають видаленню (знесення, зрізування, пересаджування, загальний вид, місце(я) пошкодження та/або хвороби) та тих зелених насаджень, що залишаються  на місці за допомогою цифрового приладу (мобільний телефон з фотокамерою, тощо). </w:t>
      </w:r>
    </w:p>
    <w:p w14:paraId="3595D5C4">
      <w:pPr>
        <w:ind w:firstLine="709"/>
        <w:jc w:val="both"/>
        <w:rPr>
          <w:sz w:val="28"/>
          <w:szCs w:val="28"/>
          <w:lang w:val="uk-UA"/>
        </w:rPr>
      </w:pPr>
      <w:r>
        <w:rPr>
          <w:sz w:val="28"/>
          <w:szCs w:val="28"/>
          <w:lang w:val="uk-UA"/>
        </w:rPr>
        <w:t>Якщо зелені насадження за висновком комісії передаються на збереження на час будівництва, то на такі зелені насадження на висоті 1,5 м закріплюється навколо стовбура пломба, на якій вказано індивідуальний серійний номер та призначення (пересаджування, обрізка). Цей номер обов’язково вписується в акті огляду зелених насаджень. На зелені насадження, що підлягають видаленню наноситься позначка.</w:t>
      </w:r>
    </w:p>
    <w:p w14:paraId="4164F107">
      <w:pPr>
        <w:ind w:firstLine="709"/>
        <w:jc w:val="both"/>
        <w:rPr>
          <w:sz w:val="28"/>
          <w:szCs w:val="28"/>
          <w:lang w:val="uk-UA"/>
        </w:rPr>
      </w:pPr>
      <w:r>
        <w:rPr>
          <w:sz w:val="28"/>
          <w:szCs w:val="28"/>
          <w:lang w:val="uk-UA"/>
        </w:rPr>
        <w:t>Кожному члену Комісії надається один примірник акта. У разі відсутності представника територіального органу Держекоінспекції у складі Комісії один примірник акта протягом трьох робочих днів надсилається до територіального органу Держекоінспекції.</w:t>
      </w:r>
    </w:p>
    <w:p w14:paraId="1E426FDC">
      <w:pPr>
        <w:ind w:firstLine="709"/>
        <w:jc w:val="both"/>
        <w:rPr>
          <w:sz w:val="28"/>
          <w:szCs w:val="28"/>
          <w:lang w:val="uk-UA"/>
        </w:rPr>
      </w:pPr>
      <w:r>
        <w:rPr>
          <w:sz w:val="28"/>
          <w:szCs w:val="28"/>
          <w:lang w:val="uk-UA"/>
        </w:rPr>
        <w:t>Компетентний орган видає протягом тридцяти робочих днів рішення , в якому зазначається інформація про кількість зелених насаджень, що залишаються на земельній ділянці та тих, що підлягають видаленню (знесенню, зрізуванню, пересаджуванню), та суму про їх відновну вартість (у разі необхідності).</w:t>
      </w:r>
    </w:p>
    <w:p w14:paraId="7E18AA5D">
      <w:pPr>
        <w:ind w:firstLine="720"/>
        <w:jc w:val="both"/>
        <w:rPr>
          <w:sz w:val="28"/>
          <w:szCs w:val="28"/>
          <w:lang w:val="uk-UA"/>
        </w:rPr>
      </w:pPr>
      <w:r>
        <w:rPr>
          <w:sz w:val="28"/>
          <w:szCs w:val="28"/>
          <w:lang w:val="uk-UA"/>
        </w:rPr>
        <w:t>Після цього Компетентний орган протягом наступних п’яти робочих днів, надає заявнику пакет документів:</w:t>
      </w:r>
    </w:p>
    <w:p w14:paraId="0791DF6B">
      <w:pPr>
        <w:jc w:val="both"/>
        <w:rPr>
          <w:sz w:val="28"/>
          <w:szCs w:val="28"/>
          <w:lang w:val="uk-UA"/>
        </w:rPr>
      </w:pPr>
      <w:r>
        <w:rPr>
          <w:sz w:val="28"/>
          <w:szCs w:val="28"/>
          <w:lang w:val="uk-UA"/>
        </w:rPr>
        <w:t>- у випадках видалення зелених насаджень на підставі одного з документів, визначених статтями 35-37 Закону України «Про регулювання містобудівної діяльності» - копії рішення Компетентного органу та акту з метою видачі Заявнику для сплати відновної вартості зелених насаджень, що підлягають видаленню;</w:t>
      </w:r>
    </w:p>
    <w:p w14:paraId="1FE94657">
      <w:pPr>
        <w:jc w:val="both"/>
        <w:rPr>
          <w:sz w:val="28"/>
          <w:szCs w:val="28"/>
          <w:lang w:val="uk-UA"/>
        </w:rPr>
      </w:pPr>
      <w:r>
        <w:rPr>
          <w:sz w:val="28"/>
          <w:szCs w:val="28"/>
          <w:lang w:val="uk-UA"/>
        </w:rPr>
        <w:t>- у випадках, коли прийнято рішення Комісією про знесення аварійних, сухостійних і фаутних дерев — оригінал відкритого ордеру.</w:t>
      </w:r>
    </w:p>
    <w:p w14:paraId="678C0616">
      <w:pPr>
        <w:jc w:val="both"/>
        <w:rPr>
          <w:sz w:val="28"/>
          <w:szCs w:val="28"/>
        </w:rPr>
      </w:pPr>
      <w:r>
        <w:rPr>
          <w:sz w:val="28"/>
          <w:szCs w:val="28"/>
          <w:lang w:val="uk-UA"/>
        </w:rPr>
        <w:t xml:space="preserve">- у випадках, коли планується </w:t>
      </w:r>
      <w:r>
        <w:rPr>
          <w:sz w:val="28"/>
          <w:szCs w:val="28"/>
        </w:rPr>
        <w:t xml:space="preserve">спеціальне використання природних ресурсів у межах територій та об’єктів природно-заповідного фонду місцевого значення (крім корисних копалин) здійснюється на підставі дозволів, що видаються </w:t>
      </w:r>
      <w:r>
        <w:rPr>
          <w:sz w:val="28"/>
          <w:szCs w:val="28"/>
          <w:lang w:val="uk-UA"/>
        </w:rPr>
        <w:t>Попівською сільською радою з подальшим</w:t>
      </w:r>
      <w:r>
        <w:rPr>
          <w:sz w:val="28"/>
          <w:szCs w:val="28"/>
        </w:rPr>
        <w:t xml:space="preserve"> погодженням з органом виконавчої влади з питань охорони навколишнього природного середовища, обласними, державними адміністраціями.</w:t>
      </w:r>
    </w:p>
    <w:p w14:paraId="680E165A">
      <w:pPr>
        <w:ind w:firstLine="720"/>
        <w:jc w:val="both"/>
        <w:rPr>
          <w:sz w:val="28"/>
          <w:szCs w:val="28"/>
          <w:lang w:val="uk-UA"/>
        </w:rPr>
      </w:pPr>
      <w:r>
        <w:rPr>
          <w:sz w:val="28"/>
          <w:szCs w:val="28"/>
        </w:rPr>
        <w:t xml:space="preserve">Видача </w:t>
      </w:r>
      <w:r>
        <w:rPr>
          <w:sz w:val="28"/>
          <w:szCs w:val="28"/>
          <w:lang w:val="uk-UA"/>
        </w:rPr>
        <w:t xml:space="preserve">таких </w:t>
      </w:r>
      <w:r>
        <w:rPr>
          <w:sz w:val="28"/>
          <w:szCs w:val="28"/>
        </w:rPr>
        <w:t>дозволів здійснюється на підставі клопотання (заявки) природокористувача, погодженого із власником або постійним користувачем земельної ділянки та заінтересованими органами</w:t>
      </w:r>
      <w:r>
        <w:rPr>
          <w:sz w:val="28"/>
          <w:szCs w:val="28"/>
          <w:lang w:val="uk-UA"/>
        </w:rPr>
        <w:t>.</w:t>
      </w:r>
    </w:p>
    <w:p w14:paraId="7E31BB50">
      <w:pPr>
        <w:ind w:firstLine="720"/>
        <w:jc w:val="both"/>
        <w:rPr>
          <w:sz w:val="28"/>
          <w:szCs w:val="28"/>
          <w:lang w:val="uk-UA"/>
        </w:rPr>
      </w:pPr>
      <w:r>
        <w:rPr>
          <w:sz w:val="28"/>
          <w:szCs w:val="28"/>
          <w:lang w:val="uk-UA"/>
        </w:rPr>
        <w:t>Дозвіл видається протягом місяця з моменту подання клопотання та узгоджується з лімітами. Підставами для відмови у видачі дозволу може бути відсутність затвердженого в установленому порядку ліміту, або рішення науково – технічної ради КЗ СОР «РЛП «Сеймський», чи порушення умов природокористування та режиму території природно-заповідного фонду.</w:t>
      </w:r>
    </w:p>
    <w:p w14:paraId="371F203A">
      <w:pPr>
        <w:ind w:firstLine="720"/>
        <w:jc w:val="both"/>
        <w:rPr>
          <w:sz w:val="28"/>
          <w:szCs w:val="28"/>
        </w:rPr>
      </w:pPr>
      <w:r>
        <w:rPr>
          <w:sz w:val="28"/>
          <w:szCs w:val="28"/>
        </w:rPr>
        <w:t>Прийняття рішення про відмову у видачі дозволу на спеціальне використання природних ресурсів у межах територій та об’єктів природно-заповідного фонду здійснюється у місячний строк.</w:t>
      </w:r>
    </w:p>
    <w:p w14:paraId="38282B79">
      <w:pPr>
        <w:ind w:firstLine="720"/>
        <w:jc w:val="both"/>
        <w:rPr>
          <w:sz w:val="28"/>
          <w:szCs w:val="28"/>
          <w:lang w:val="uk-UA"/>
        </w:rPr>
      </w:pPr>
      <w:r>
        <w:rPr>
          <w:sz w:val="28"/>
          <w:szCs w:val="28"/>
        </w:rPr>
        <w:t>Проведення рубок формування і оздоровлення лісів, інших видів рубок здійснюється в межах затверджених планів та на підставі рішень науково-технічних рад установ природно-заповідного фонду згідно з лімітом на використання природних ресурсів на підставі дозволів.</w:t>
      </w:r>
    </w:p>
    <w:p w14:paraId="06D10C8A">
      <w:pPr>
        <w:ind w:firstLine="720"/>
        <w:jc w:val="both"/>
        <w:rPr>
          <w:sz w:val="28"/>
          <w:szCs w:val="28"/>
          <w:lang w:val="uk-UA"/>
        </w:rPr>
      </w:pPr>
      <w:r>
        <w:rPr>
          <w:sz w:val="28"/>
          <w:szCs w:val="28"/>
          <w:lang w:val="uk-UA"/>
        </w:rPr>
        <w:t>Форма ордера додається до Положення (Додаток 2).</w:t>
      </w:r>
    </w:p>
    <w:p w14:paraId="1F0F4747">
      <w:pPr>
        <w:ind w:firstLine="720"/>
        <w:jc w:val="both"/>
        <w:rPr>
          <w:sz w:val="28"/>
          <w:szCs w:val="28"/>
          <w:lang w:val="uk-UA"/>
        </w:rPr>
      </w:pPr>
      <w:r>
        <w:rPr>
          <w:sz w:val="28"/>
          <w:szCs w:val="28"/>
          <w:lang w:val="uk-UA"/>
        </w:rPr>
        <w:t xml:space="preserve">1.4. Видалення (знесення) зелених насаджень, що розташовані на землях комунальної власності в межах та за межами населених пунктів Попівської сільської ради Конотопського району Сумської області, які за результатами комісійного обстеження є аварійними, сухостійними або фаутними, здійснюється на підставі ордеру. </w:t>
      </w:r>
    </w:p>
    <w:p w14:paraId="4C1C6522">
      <w:pPr>
        <w:ind w:firstLine="720"/>
        <w:jc w:val="both"/>
        <w:rPr>
          <w:sz w:val="28"/>
          <w:szCs w:val="28"/>
          <w:lang w:val="uk-UA"/>
        </w:rPr>
      </w:pPr>
      <w:r>
        <w:rPr>
          <w:sz w:val="28"/>
          <w:szCs w:val="28"/>
          <w:lang w:val="uk-UA"/>
        </w:rPr>
        <w:t>1.5. Якщо Заявник висловлює намір здійснити видалення зелених насаджень, які розташовані на землях комунальної власності та, які за результатами комісійного обстеження є аварійними, сухостійними або фаутними, за свій рахунок- йому необхідно зазначити про свій намір у довільній формі при наданні заяви до Компетентного органу для отримання ордеру.</w:t>
      </w:r>
    </w:p>
    <w:p w14:paraId="3B9862AE">
      <w:pPr>
        <w:ind w:firstLine="720"/>
        <w:jc w:val="both"/>
        <w:rPr>
          <w:sz w:val="28"/>
          <w:szCs w:val="28"/>
          <w:lang w:val="uk-UA"/>
        </w:rPr>
      </w:pPr>
      <w:r>
        <w:rPr>
          <w:sz w:val="28"/>
          <w:szCs w:val="28"/>
          <w:lang w:val="uk-UA"/>
        </w:rPr>
        <w:t>В такому випадку видалення (знесення, обрізка) зелених насаджень здійснюється з дотриманням норм розділу 5 «Прикінцеві положення» цього Положення.</w:t>
      </w:r>
    </w:p>
    <w:p w14:paraId="5BD2E5D6">
      <w:pPr>
        <w:ind w:firstLine="720"/>
        <w:jc w:val="both"/>
        <w:rPr>
          <w:sz w:val="28"/>
          <w:szCs w:val="28"/>
          <w:lang w:val="uk-UA"/>
        </w:rPr>
      </w:pPr>
      <w:r>
        <w:rPr>
          <w:sz w:val="28"/>
          <w:szCs w:val="28"/>
          <w:lang w:val="uk-UA"/>
        </w:rPr>
        <w:t>1.6. Якщо за результатами обстеження зелених насаджень, Комісія приймає рішення про обрізування та/або пересаджування зелених насаджень, то здійснення таких дій повинно забезпечуватись відповідальними за збереження  зелених  насаджень  і належний догляд за ними згідно Наказу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від 10.04.2006 № 105. Відновна вартість зелених насаджень, розташованих на земельній ділянці, що відведена в установленому порядку фізичній або юридичній особі (крім відновної вартості зелених насаджень, посажених (створених) цією особою), сплачується під час повернення з користування(оренди) або під час передачі такої ділянки у власність відповідної особи.</w:t>
      </w:r>
    </w:p>
    <w:p w14:paraId="02A85379">
      <w:pPr>
        <w:ind w:firstLine="720"/>
        <w:jc w:val="both"/>
        <w:rPr>
          <w:sz w:val="28"/>
          <w:szCs w:val="28"/>
          <w:lang w:val="uk-UA"/>
        </w:rPr>
      </w:pPr>
    </w:p>
    <w:p w14:paraId="2B21BA7F">
      <w:pPr>
        <w:ind w:firstLine="720"/>
        <w:jc w:val="both"/>
        <w:rPr>
          <w:b/>
          <w:sz w:val="28"/>
          <w:szCs w:val="28"/>
          <w:lang w:val="uk-UA"/>
        </w:rPr>
      </w:pPr>
    </w:p>
    <w:p w14:paraId="122F5A24">
      <w:pPr>
        <w:ind w:firstLine="720"/>
        <w:jc w:val="both"/>
        <w:rPr>
          <w:b/>
          <w:sz w:val="28"/>
          <w:szCs w:val="28"/>
          <w:lang w:val="uk-UA"/>
        </w:rPr>
      </w:pPr>
      <w:r>
        <w:rPr>
          <w:b/>
          <w:sz w:val="28"/>
          <w:szCs w:val="28"/>
          <w:lang w:val="uk-UA"/>
        </w:rPr>
        <w:t>2.Порядок видалення зелених насаджень</w:t>
      </w:r>
    </w:p>
    <w:p w14:paraId="6142D629">
      <w:pPr>
        <w:ind w:firstLine="720"/>
        <w:jc w:val="both"/>
        <w:rPr>
          <w:b/>
          <w:sz w:val="28"/>
          <w:szCs w:val="28"/>
          <w:lang w:val="uk-UA"/>
        </w:rPr>
      </w:pPr>
    </w:p>
    <w:p w14:paraId="5AFE9CE2">
      <w:pPr>
        <w:ind w:firstLine="720"/>
        <w:jc w:val="both"/>
        <w:rPr>
          <w:color w:val="1E1E1E"/>
          <w:sz w:val="28"/>
          <w:szCs w:val="28"/>
          <w:lang w:val="uk-UA"/>
        </w:rPr>
      </w:pPr>
      <w:r>
        <w:rPr>
          <w:color w:val="1E1E1E"/>
          <w:sz w:val="28"/>
          <w:szCs w:val="28"/>
          <w:lang w:val="uk-UA"/>
        </w:rPr>
        <w:t>2.1. Видалення(знесення) та обрізка зелених насаджень, що розташовані на землях комунальної власності в межах та за межами населених пунктів Попівської сільської ради Конотопського району Сумської області здійснюється за рахунок коштів бюджету  Попівської сільської територіальної громади.</w:t>
      </w:r>
    </w:p>
    <w:p w14:paraId="57F7CB88">
      <w:pPr>
        <w:ind w:firstLine="720"/>
        <w:jc w:val="both"/>
        <w:rPr>
          <w:color w:val="1E1E1E"/>
          <w:sz w:val="28"/>
          <w:szCs w:val="28"/>
          <w:lang w:val="uk-UA"/>
        </w:rPr>
      </w:pPr>
      <w:r>
        <w:rPr>
          <w:color w:val="1E1E1E"/>
          <w:sz w:val="28"/>
          <w:szCs w:val="28"/>
          <w:lang w:val="uk-UA"/>
        </w:rPr>
        <w:t>2.2 Відповідальним за безпосередній контроль виконання робіт підрядною організацією з здійснення видалення зелених насаджень (або омолоджувальне обрізання) і подрібнення гілок, у результаті чого утворюється вторинна сировина (дрова, деревина, гілки) та/або відходи деревини (трухла, непридатна для подальшого використання деревина)</w:t>
      </w:r>
      <w:r>
        <w:rPr>
          <w:sz w:val="28"/>
          <w:szCs w:val="28"/>
          <w:lang w:val="uk-UA"/>
        </w:rPr>
        <w:t xml:space="preserve"> </w:t>
      </w:r>
      <w:r>
        <w:rPr>
          <w:color w:val="1E1E1E"/>
          <w:sz w:val="28"/>
          <w:szCs w:val="28"/>
          <w:lang w:val="uk-UA"/>
        </w:rPr>
        <w:t>є відділ житлово-комунального господарства, архітектури, транспорту та комунальної власності Попівської сільської ради Конотопського району Сумської області.</w:t>
      </w:r>
    </w:p>
    <w:p w14:paraId="77DE52B6">
      <w:pPr>
        <w:ind w:firstLine="720"/>
        <w:jc w:val="both"/>
        <w:rPr>
          <w:sz w:val="28"/>
          <w:szCs w:val="28"/>
          <w:lang w:val="uk-UA"/>
        </w:rPr>
      </w:pPr>
      <w:r>
        <w:rPr>
          <w:color w:val="1E1E1E"/>
          <w:sz w:val="28"/>
          <w:szCs w:val="28"/>
          <w:lang w:val="uk-UA"/>
        </w:rPr>
        <w:t>2.3 Після видалення зелених насаджень виконавець робіт спільно з Комісією</w:t>
      </w:r>
      <w:r>
        <w:rPr>
          <w:lang w:val="uk-UA"/>
        </w:rPr>
        <w:t xml:space="preserve"> </w:t>
      </w:r>
      <w:r>
        <w:rPr>
          <w:color w:val="1E1E1E"/>
          <w:sz w:val="28"/>
          <w:szCs w:val="28"/>
          <w:lang w:val="uk-UA"/>
        </w:rPr>
        <w:t xml:space="preserve">замовника робіт (Додаток 4 до цього положення) визначають фактичний об'єм та оцінку </w:t>
      </w:r>
      <w:r>
        <w:rPr>
          <w:sz w:val="28"/>
          <w:szCs w:val="28"/>
          <w:lang w:val="uk-UA"/>
        </w:rPr>
        <w:t>вторинної сировини (дров, деревини, гілок), що утворилася в результаті видалення зелених насаджень та з подальшою її передачею відповідно до рішення Компетентного органу, про що складається акт прийому-передачі вторинної сировини (дров, деревини, гілок). (Додаток 3 до цього Положення).</w:t>
      </w:r>
    </w:p>
    <w:p w14:paraId="2291C158">
      <w:pPr>
        <w:ind w:firstLine="720"/>
        <w:jc w:val="both"/>
        <w:rPr>
          <w:sz w:val="28"/>
          <w:lang w:val="uk-UA"/>
        </w:rPr>
      </w:pPr>
      <w:r>
        <w:rPr>
          <w:sz w:val="28"/>
          <w:szCs w:val="28"/>
          <w:lang w:val="uk-UA"/>
        </w:rPr>
        <w:t>2.3.1 Акт</w:t>
      </w:r>
      <w:r>
        <w:rPr>
          <w:lang w:val="uk-UA"/>
        </w:rPr>
        <w:t xml:space="preserve"> </w:t>
      </w:r>
      <w:r>
        <w:rPr>
          <w:sz w:val="28"/>
          <w:szCs w:val="28"/>
          <w:lang w:val="uk-UA"/>
        </w:rPr>
        <w:t xml:space="preserve">прийому-передачі вторинної сировини (дров, деревини, гілок) складається у чотирьох рівнозначних примірниках </w:t>
      </w:r>
      <w:r>
        <w:rPr>
          <w:sz w:val="28"/>
          <w:lang w:val="uk-UA"/>
        </w:rPr>
        <w:t xml:space="preserve">та надається по одному примірнику: виконавцю;  отримувачу вторинної сировини; </w:t>
      </w:r>
      <w:r>
        <w:rPr>
          <w:sz w:val="28"/>
          <w:szCs w:val="28"/>
          <w:lang w:val="uk-UA"/>
        </w:rPr>
        <w:t>відділу бухгалтерського обліку, звітності та господарської діяльності Попівської сільської ради;</w:t>
      </w:r>
      <w:r>
        <w:rPr>
          <w:sz w:val="28"/>
          <w:lang w:val="uk-UA"/>
        </w:rPr>
        <w:t xml:space="preserve"> відділу житлово-комунального господарства, </w:t>
      </w:r>
      <w:r>
        <w:rPr>
          <w:sz w:val="28"/>
          <w:szCs w:val="28"/>
          <w:lang w:val="uk-UA"/>
        </w:rPr>
        <w:t xml:space="preserve">архітектури, будівництва, транспорту та комунальної власності </w:t>
      </w:r>
      <w:r>
        <w:rPr>
          <w:sz w:val="28"/>
          <w:szCs w:val="28"/>
          <w:lang w:val="uk-UA" w:eastAsia="uk-UA"/>
        </w:rPr>
        <w:t xml:space="preserve">Попівської сільської ради </w:t>
      </w:r>
      <w:r>
        <w:rPr>
          <w:sz w:val="28"/>
          <w:szCs w:val="28"/>
          <w:lang w:val="uk-UA"/>
        </w:rPr>
        <w:t xml:space="preserve">Конотопського району Сумської області. </w:t>
      </w:r>
    </w:p>
    <w:p w14:paraId="2C64ADC5">
      <w:pPr>
        <w:ind w:firstLine="720"/>
        <w:jc w:val="both"/>
        <w:rPr>
          <w:sz w:val="28"/>
          <w:szCs w:val="28"/>
          <w:lang w:val="uk-UA"/>
        </w:rPr>
      </w:pPr>
      <w:r>
        <w:rPr>
          <w:sz w:val="28"/>
          <w:szCs w:val="28"/>
          <w:lang w:val="uk-UA"/>
        </w:rPr>
        <w:t>2.4 Передача фактичного об'єму вторинної сировини (дров, деревини, гілок).</w:t>
      </w:r>
    </w:p>
    <w:p w14:paraId="1A69F6F4">
      <w:pPr>
        <w:ind w:firstLine="720"/>
        <w:jc w:val="both"/>
        <w:rPr>
          <w:sz w:val="28"/>
          <w:szCs w:val="28"/>
          <w:lang w:val="uk-UA"/>
        </w:rPr>
      </w:pPr>
      <w:r>
        <w:rPr>
          <w:sz w:val="28"/>
          <w:szCs w:val="28"/>
          <w:lang w:val="uk-UA"/>
        </w:rPr>
        <w:t>2.4.1 В разі передачі вторинної сировини до бюджетної установи - її відділ бухгалтерського обліку відображає отриману вторинну сировину (дрова, деревину, гілкі) в бухгалтерському обліку та установа набуває можливість використовувати її в господарських потребах.</w:t>
      </w:r>
    </w:p>
    <w:p w14:paraId="7492EC67">
      <w:pPr>
        <w:ind w:firstLine="720"/>
        <w:jc w:val="both"/>
        <w:rPr>
          <w:color w:val="1E1E1E"/>
          <w:sz w:val="28"/>
          <w:szCs w:val="28"/>
          <w:lang w:val="uk-UA"/>
        </w:rPr>
      </w:pPr>
      <w:r>
        <w:rPr>
          <w:sz w:val="28"/>
          <w:szCs w:val="28"/>
        </w:rPr>
        <w:t>2.</w:t>
      </w:r>
      <w:r>
        <w:rPr>
          <w:sz w:val="28"/>
          <w:szCs w:val="28"/>
          <w:lang w:val="uk-UA"/>
        </w:rPr>
        <w:t xml:space="preserve">4.2 </w:t>
      </w:r>
      <w:r>
        <w:rPr>
          <w:sz w:val="28"/>
          <w:szCs w:val="28"/>
        </w:rPr>
        <w:t>Вторинна сировина (дрова, деревин</w:t>
      </w:r>
      <w:r>
        <w:rPr>
          <w:sz w:val="28"/>
          <w:szCs w:val="28"/>
          <w:lang w:val="uk-UA"/>
        </w:rPr>
        <w:t>а</w:t>
      </w:r>
      <w:r>
        <w:rPr>
          <w:sz w:val="28"/>
          <w:szCs w:val="28"/>
        </w:rPr>
        <w:t>, гілк</w:t>
      </w:r>
      <w:r>
        <w:rPr>
          <w:sz w:val="28"/>
          <w:szCs w:val="28"/>
          <w:lang w:val="uk-UA"/>
        </w:rPr>
        <w:t>и</w:t>
      </w:r>
      <w:r>
        <w:rPr>
          <w:sz w:val="28"/>
          <w:szCs w:val="28"/>
        </w:rPr>
        <w:t>), що утворилася після видалення зелених насаджень, може бути передан</w:t>
      </w:r>
      <w:r>
        <w:rPr>
          <w:sz w:val="28"/>
          <w:szCs w:val="28"/>
          <w:lang w:val="uk-UA"/>
        </w:rPr>
        <w:t>а</w:t>
      </w:r>
      <w:r>
        <w:rPr>
          <w:sz w:val="28"/>
          <w:szCs w:val="28"/>
        </w:rPr>
        <w:t xml:space="preserve"> безоплатно бюджетним організаціям</w:t>
      </w:r>
      <w:r>
        <w:rPr>
          <w:sz w:val="28"/>
          <w:szCs w:val="28"/>
          <w:lang w:val="uk-UA"/>
        </w:rPr>
        <w:t xml:space="preserve"> та установам, учасникам АТО, соціально незахищеним верствам населення, населенню для поліпшення соціально-побутових умов.</w:t>
      </w:r>
    </w:p>
    <w:p w14:paraId="4029CDA7">
      <w:pPr>
        <w:ind w:firstLine="720"/>
        <w:jc w:val="both"/>
        <w:rPr>
          <w:rFonts w:eastAsia="MingLiU"/>
          <w:sz w:val="28"/>
          <w:szCs w:val="28"/>
          <w:lang w:val="uk-UA" w:eastAsia="zh-CN"/>
        </w:rPr>
      </w:pPr>
      <w:r>
        <w:rPr>
          <w:color w:val="1E1E1E"/>
          <w:sz w:val="28"/>
          <w:szCs w:val="28"/>
          <w:lang w:val="uk-UA"/>
        </w:rPr>
        <w:t xml:space="preserve">2.4.3 </w:t>
      </w:r>
      <w:r>
        <w:rPr>
          <w:sz w:val="28"/>
          <w:szCs w:val="28"/>
          <w:lang w:val="uk-UA"/>
        </w:rPr>
        <w:t>Якщо виконавцем робіт є заявник, що висловив намір здійснити видалення зелених насаджень, які розташовані на землях комунальної власності та, за результатами комісійного обстеження є аварійними, сухостійними або фаутними, за кошти інших джерел, не бюджету Попівської сільської територіальної громади- то використання вторинної сировини (дров, деревини, гілок), що утворилася в результаті видалення таких зелених насаджень залишається заявнику безоплатно на розсуд виконавця та для некомерційного використання без додаткового узгодження з Компетентним органом, але з обов</w:t>
      </w:r>
      <w:r>
        <w:rPr>
          <w:rFonts w:eastAsia="MingLiU"/>
          <w:sz w:val="28"/>
          <w:szCs w:val="28"/>
          <w:lang w:val="uk-UA" w:eastAsia="zh-CN"/>
        </w:rPr>
        <w:t>’язковим проведенням благоустрою території після проведення таких робіт та дотриманням пункту 5 розділу ІІ цього Положення.</w:t>
      </w:r>
    </w:p>
    <w:p w14:paraId="517B7583">
      <w:pPr>
        <w:ind w:firstLine="720"/>
        <w:jc w:val="both"/>
        <w:rPr>
          <w:rFonts w:eastAsia="MingLiU"/>
          <w:sz w:val="28"/>
          <w:szCs w:val="28"/>
          <w:lang w:val="uk-UA" w:eastAsia="zh-CN"/>
        </w:rPr>
      </w:pPr>
      <w:r>
        <w:rPr>
          <w:rFonts w:eastAsia="MingLiU"/>
          <w:sz w:val="28"/>
          <w:szCs w:val="28"/>
          <w:lang w:val="uk-UA" w:eastAsia="zh-CN"/>
        </w:rPr>
        <w:t>2.5 Зелені насадження видалені згідно даного Положення та Тимчасового порядку видалення зелених насаджень за межами населених пунктів для потреб військових формувань на території Сумської області в повному обсязі безоплатно підлягають передачі, відповідно до порядку цього Положення, для забезпечення потреб у дровах військовим формуванням.</w:t>
      </w:r>
    </w:p>
    <w:p w14:paraId="73459B2E">
      <w:pPr>
        <w:ind w:firstLine="720"/>
        <w:jc w:val="both"/>
        <w:rPr>
          <w:rFonts w:eastAsia="MingLiU"/>
          <w:sz w:val="28"/>
          <w:szCs w:val="28"/>
          <w:lang w:val="uk-UA" w:eastAsia="zh-CN"/>
        </w:rPr>
      </w:pPr>
      <w:r>
        <w:rPr>
          <w:rFonts w:eastAsia="MingLiU"/>
          <w:sz w:val="28"/>
          <w:szCs w:val="28"/>
          <w:lang w:val="uk-UA" w:eastAsia="zh-CN"/>
        </w:rPr>
        <w:t>Після видалення зелених насаджень за межами населених пунктів для потреб військових формувань деревина зберігається у визначених місцях, зазначених в додатку 5.</w:t>
      </w:r>
    </w:p>
    <w:p w14:paraId="08723C98">
      <w:pPr>
        <w:jc w:val="both"/>
        <w:rPr>
          <w:b/>
          <w:sz w:val="28"/>
          <w:szCs w:val="28"/>
          <w:lang w:val="uk-UA"/>
        </w:rPr>
      </w:pPr>
    </w:p>
    <w:p w14:paraId="3EC7471D">
      <w:pPr>
        <w:ind w:firstLine="720"/>
        <w:jc w:val="both"/>
        <w:rPr>
          <w:b/>
          <w:sz w:val="28"/>
          <w:szCs w:val="28"/>
          <w:lang w:val="uk-UA"/>
        </w:rPr>
      </w:pPr>
      <w:r>
        <w:rPr>
          <w:b/>
          <w:sz w:val="28"/>
          <w:szCs w:val="28"/>
          <w:lang w:val="uk-UA"/>
        </w:rPr>
        <w:t>3. Відновна вартість зелених насаджень</w:t>
      </w:r>
    </w:p>
    <w:p w14:paraId="648EE3FA">
      <w:pPr>
        <w:jc w:val="both"/>
        <w:rPr>
          <w:sz w:val="28"/>
          <w:szCs w:val="28"/>
          <w:lang w:val="uk-UA"/>
        </w:rPr>
      </w:pPr>
    </w:p>
    <w:p w14:paraId="5046A5FE">
      <w:pPr>
        <w:ind w:firstLine="720"/>
        <w:jc w:val="both"/>
        <w:rPr>
          <w:sz w:val="28"/>
          <w:szCs w:val="28"/>
          <w:lang w:val="uk-UA"/>
        </w:rPr>
      </w:pPr>
      <w:r>
        <w:rPr>
          <w:sz w:val="28"/>
          <w:szCs w:val="28"/>
          <w:lang w:val="uk-UA"/>
        </w:rPr>
        <w:t>3.1. Відновна вартість зелених насаджень, що входять до комунальної власності, сплачується до відповідного цільового фонду місцевого бюджету. У призначенні платежу вказується: «Відновна вартість зелених насаджень. №, дата акту обстеження».</w:t>
      </w:r>
    </w:p>
    <w:p w14:paraId="64600EFB">
      <w:pPr>
        <w:ind w:firstLine="720"/>
        <w:jc w:val="both"/>
        <w:rPr>
          <w:sz w:val="28"/>
          <w:szCs w:val="28"/>
          <w:lang w:val="uk-UA"/>
        </w:rPr>
      </w:pPr>
      <w:r>
        <w:rPr>
          <w:sz w:val="28"/>
          <w:szCs w:val="28"/>
          <w:lang w:val="uk-UA"/>
        </w:rPr>
        <w:t>У разі видалення зелених насаджень у зв’язку із будівництвом об’єктів розмір їх відновної вартості зменшується на суму, передбачену проектною документацією на озеленення території.</w:t>
      </w:r>
    </w:p>
    <w:p w14:paraId="46379A17">
      <w:pPr>
        <w:ind w:firstLine="720"/>
        <w:jc w:val="both"/>
        <w:rPr>
          <w:sz w:val="28"/>
          <w:szCs w:val="28"/>
          <w:lang w:val="uk-UA"/>
        </w:rPr>
      </w:pPr>
      <w:r>
        <w:rPr>
          <w:sz w:val="28"/>
          <w:szCs w:val="28"/>
          <w:lang w:val="uk-UA"/>
        </w:rPr>
        <w:t>3.2. Сплата відновної вартості зелених насаджень не проводиться у разі:</w:t>
      </w:r>
    </w:p>
    <w:p w14:paraId="26F8AA34">
      <w:pPr>
        <w:jc w:val="both"/>
        <w:rPr>
          <w:sz w:val="28"/>
          <w:szCs w:val="28"/>
          <w:lang w:val="uk-UA"/>
        </w:rPr>
      </w:pPr>
      <w:r>
        <w:rPr>
          <w:sz w:val="28"/>
          <w:szCs w:val="28"/>
          <w:lang w:val="uk-UA"/>
        </w:rPr>
        <w:t>- будівництва (нового будівництва, реконструкції, реставрації, капітального ремонту) житлових будинків, об’єктів інженерно-транспортної та соціальної інфраструктури, благоустрою та інших об’єктів будівництва, що споруджуються за рахунок коштів державного чи місцевого бюджету;</w:t>
      </w:r>
    </w:p>
    <w:p w14:paraId="43F8CA15">
      <w:pPr>
        <w:jc w:val="both"/>
        <w:rPr>
          <w:sz w:val="28"/>
          <w:szCs w:val="28"/>
          <w:lang w:val="uk-UA"/>
        </w:rPr>
      </w:pPr>
      <w:r>
        <w:rPr>
          <w:sz w:val="28"/>
          <w:szCs w:val="28"/>
          <w:lang w:val="uk-UA"/>
        </w:rPr>
        <w:t>- знесення аварійних, сухостійних і фаутних дерев, а також самосійних і порослевих дерев з діаметром кореневої шийки не більш як 5 сантиметрів;</w:t>
      </w:r>
    </w:p>
    <w:p w14:paraId="12C8D1DD">
      <w:pPr>
        <w:jc w:val="both"/>
        <w:rPr>
          <w:sz w:val="28"/>
          <w:szCs w:val="28"/>
          <w:lang w:val="uk-UA"/>
        </w:rPr>
      </w:pPr>
      <w:r>
        <w:rPr>
          <w:sz w:val="28"/>
          <w:szCs w:val="28"/>
          <w:lang w:val="uk-UA"/>
        </w:rPr>
        <w:t>- ліквідації аварійної ситуації інженерних мереж на території Попівської сільської ради;</w:t>
      </w:r>
    </w:p>
    <w:p w14:paraId="0F171931">
      <w:pPr>
        <w:jc w:val="both"/>
        <w:rPr>
          <w:sz w:val="28"/>
          <w:szCs w:val="28"/>
          <w:lang w:val="uk-UA"/>
        </w:rPr>
      </w:pPr>
      <w:r>
        <w:rPr>
          <w:sz w:val="28"/>
          <w:szCs w:val="28"/>
          <w:lang w:val="uk-UA"/>
        </w:rPr>
        <w:t>- відновлення світлового режиму в житловому приміщенні, що затіняється деревами;</w:t>
      </w:r>
    </w:p>
    <w:p w14:paraId="632BA1D2">
      <w:pPr>
        <w:jc w:val="both"/>
        <w:rPr>
          <w:sz w:val="28"/>
          <w:szCs w:val="28"/>
          <w:lang w:val="uk-UA"/>
        </w:rPr>
      </w:pPr>
      <w:r>
        <w:rPr>
          <w:sz w:val="28"/>
          <w:szCs w:val="28"/>
          <w:lang w:val="uk-UA"/>
        </w:rPr>
        <w:t>- 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14:paraId="62716E95">
      <w:pPr>
        <w:jc w:val="both"/>
        <w:rPr>
          <w:sz w:val="28"/>
          <w:szCs w:val="28"/>
          <w:lang w:val="uk-UA"/>
        </w:rPr>
      </w:pPr>
      <w:r>
        <w:rPr>
          <w:sz w:val="28"/>
          <w:szCs w:val="28"/>
          <w:lang w:val="uk-UA"/>
        </w:rPr>
        <w:t>- досягнення деревом вікової межі;</w:t>
      </w:r>
    </w:p>
    <w:p w14:paraId="0940487C">
      <w:pPr>
        <w:jc w:val="both"/>
        <w:rPr>
          <w:sz w:val="28"/>
          <w:szCs w:val="28"/>
          <w:lang w:val="uk-UA"/>
        </w:rPr>
      </w:pPr>
      <w:r>
        <w:rPr>
          <w:sz w:val="28"/>
          <w:szCs w:val="28"/>
          <w:lang w:val="uk-UA"/>
        </w:rPr>
        <w:t>- провадження господарської діяльності на території розсадників з вирощування декоративних дерев та кущів;</w:t>
      </w:r>
    </w:p>
    <w:p w14:paraId="60794D54">
      <w:pPr>
        <w:jc w:val="both"/>
        <w:rPr>
          <w:sz w:val="28"/>
          <w:szCs w:val="28"/>
          <w:lang w:val="uk-UA"/>
        </w:rPr>
      </w:pPr>
      <w:r>
        <w:rPr>
          <w:sz w:val="28"/>
          <w:szCs w:val="28"/>
          <w:lang w:val="uk-UA"/>
        </w:rPr>
        <w:t>- ліквідації наслідків стихійного лиха, аварійної та надзвичайної ситуації;</w:t>
      </w:r>
    </w:p>
    <w:p w14:paraId="6B7BA54A">
      <w:pPr>
        <w:jc w:val="both"/>
        <w:rPr>
          <w:sz w:val="28"/>
          <w:szCs w:val="28"/>
          <w:lang w:val="uk-UA"/>
        </w:rPr>
      </w:pPr>
      <w:r>
        <w:rPr>
          <w:sz w:val="28"/>
          <w:szCs w:val="28"/>
          <w:lang w:val="uk-UA"/>
        </w:rPr>
        <w:t>- ліквідації перешкоджання використання земель за цільовим призначенням.</w:t>
      </w:r>
    </w:p>
    <w:p w14:paraId="7F5EBD9A">
      <w:pPr>
        <w:ind w:firstLine="720"/>
        <w:jc w:val="both"/>
        <w:rPr>
          <w:sz w:val="28"/>
          <w:szCs w:val="28"/>
          <w:lang w:val="uk-UA"/>
        </w:rPr>
      </w:pPr>
      <w:r>
        <w:rPr>
          <w:sz w:val="28"/>
          <w:szCs w:val="28"/>
          <w:lang w:val="uk-UA"/>
        </w:rPr>
        <w:t xml:space="preserve">3.3. Закриття ордеру здійснюється не пізніше тридцяти робочих днів. </w:t>
      </w:r>
    </w:p>
    <w:p w14:paraId="44E313F9">
      <w:pPr>
        <w:ind w:firstLine="720"/>
        <w:jc w:val="both"/>
        <w:rPr>
          <w:sz w:val="28"/>
          <w:szCs w:val="28"/>
          <w:lang w:val="uk-UA"/>
        </w:rPr>
      </w:pPr>
      <w:r>
        <w:rPr>
          <w:sz w:val="28"/>
          <w:szCs w:val="28"/>
          <w:lang w:val="uk-UA"/>
        </w:rPr>
        <w:t xml:space="preserve">Після закриття ордеру виконавець робіт та послуг повинен надати до відділу житлово-комунального господарства, архітектури, транспорту та комунальної власності Попівської сільської ради Конотопського району Сумської області акт прийому-передачі  вторинної сировини (дров, деревини, гілок), що утворилися в результаті видалення чи обрізання зелених насаджень на території Попівської сільської ради  визначеним рішенням компетентного органу комунальним закладам, установам, особам з соціально незахищених верств населення, тощо. </w:t>
      </w:r>
    </w:p>
    <w:p w14:paraId="057A822B">
      <w:pPr>
        <w:jc w:val="both"/>
        <w:rPr>
          <w:sz w:val="28"/>
          <w:szCs w:val="28"/>
          <w:lang w:val="uk-UA"/>
        </w:rPr>
      </w:pPr>
    </w:p>
    <w:p w14:paraId="3ED94182">
      <w:pPr>
        <w:ind w:firstLine="720"/>
        <w:jc w:val="both"/>
        <w:rPr>
          <w:b/>
          <w:sz w:val="28"/>
          <w:szCs w:val="28"/>
          <w:lang w:val="uk-UA"/>
        </w:rPr>
      </w:pPr>
      <w:r>
        <w:rPr>
          <w:b/>
          <w:sz w:val="28"/>
          <w:szCs w:val="28"/>
          <w:lang w:val="uk-UA"/>
        </w:rPr>
        <w:t>4. Додаткові умови видалення зелених насаджень</w:t>
      </w:r>
    </w:p>
    <w:p w14:paraId="30C92D43">
      <w:pPr>
        <w:jc w:val="both"/>
        <w:rPr>
          <w:sz w:val="28"/>
          <w:szCs w:val="28"/>
          <w:lang w:val="uk-UA"/>
        </w:rPr>
      </w:pPr>
    </w:p>
    <w:p w14:paraId="62EB6802">
      <w:pPr>
        <w:ind w:firstLine="720"/>
        <w:jc w:val="both"/>
        <w:rPr>
          <w:sz w:val="28"/>
          <w:szCs w:val="28"/>
          <w:lang w:val="uk-UA"/>
        </w:rPr>
      </w:pPr>
      <w:r>
        <w:rPr>
          <w:sz w:val="28"/>
          <w:szCs w:val="28"/>
          <w:lang w:val="uk-UA"/>
        </w:rPr>
        <w:t>4.1. Знесення аварійних, сухостійних і фаутних дерев на об'єкті благоустрою здійснюється на підставі акту та ордеру.</w:t>
      </w:r>
    </w:p>
    <w:p w14:paraId="7BDCF0A1">
      <w:pPr>
        <w:ind w:firstLine="720"/>
        <w:jc w:val="both"/>
        <w:rPr>
          <w:sz w:val="28"/>
          <w:szCs w:val="28"/>
          <w:lang w:val="uk-UA"/>
        </w:rPr>
      </w:pPr>
      <w:r>
        <w:rPr>
          <w:sz w:val="28"/>
          <w:szCs w:val="28"/>
          <w:lang w:val="uk-UA"/>
        </w:rPr>
        <w:t>4.2.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та/або юридичних осіб, видалення зелених насаджень здійснюється негайно, але з попередньою фото фіксацією таких зелених насаджень виконавцем таких робіт, та подальшим зверненням до Компетентного органу для оформлення акту в строк не більше, як п’ять робочих днів з дня настання такої ситуації.</w:t>
      </w:r>
    </w:p>
    <w:p w14:paraId="5E845345">
      <w:pPr>
        <w:ind w:firstLine="720"/>
        <w:jc w:val="both"/>
        <w:rPr>
          <w:sz w:val="28"/>
          <w:szCs w:val="28"/>
          <w:lang w:val="uk-UA"/>
        </w:rPr>
      </w:pPr>
      <w:r>
        <w:rPr>
          <w:sz w:val="28"/>
          <w:szCs w:val="28"/>
          <w:lang w:val="uk-UA"/>
        </w:rPr>
        <w:t>4.3. Видалення зелених насаджень на території меморіального комплексу та кладовищі здійснюється за рішенням компетентного органу без сплати їх відновної вартості.</w:t>
      </w:r>
    </w:p>
    <w:p w14:paraId="2C803810">
      <w:pPr>
        <w:ind w:firstLine="720"/>
        <w:jc w:val="both"/>
        <w:rPr>
          <w:sz w:val="28"/>
          <w:szCs w:val="28"/>
          <w:lang w:val="uk-UA"/>
        </w:rPr>
      </w:pPr>
      <w:r>
        <w:rPr>
          <w:sz w:val="28"/>
          <w:szCs w:val="28"/>
          <w:lang w:val="uk-UA"/>
        </w:rPr>
        <w:t>4.4 Попівська сільська рада Конотопського району Сумської області є відповідальною за збереження і належний догляд за зеленими  насадженнями, що розташовані на території комунальної власності. Здійснює роботи зі зрізування зелених насаджень, обрізування гілок дерев без акту та пересаджування.</w:t>
      </w:r>
    </w:p>
    <w:p w14:paraId="1C6770E0">
      <w:pPr>
        <w:ind w:firstLine="720"/>
        <w:jc w:val="both"/>
        <w:rPr>
          <w:sz w:val="28"/>
          <w:szCs w:val="28"/>
        </w:rPr>
      </w:pPr>
      <w:r>
        <w:rPr>
          <w:sz w:val="28"/>
          <w:szCs w:val="28"/>
          <w:lang w:val="uk-UA"/>
        </w:rPr>
        <w:t xml:space="preserve">4.5 </w:t>
      </w:r>
      <w:r>
        <w:rPr>
          <w:sz w:val="28"/>
          <w:szCs w:val="28"/>
        </w:rPr>
        <w:t xml:space="preserve">Спеціальне використання природних ресурсів у межах територій та об’єктів природно-заповідного фонду місцевого значення (крім корисних копалин) здійснюється на підставі дозволів, що видаються </w:t>
      </w:r>
      <w:r>
        <w:rPr>
          <w:sz w:val="28"/>
          <w:szCs w:val="28"/>
          <w:lang w:val="uk-UA"/>
        </w:rPr>
        <w:t>Попівською сільською радою з подальшим</w:t>
      </w:r>
      <w:r>
        <w:rPr>
          <w:sz w:val="28"/>
          <w:szCs w:val="28"/>
        </w:rPr>
        <w:t xml:space="preserve"> погодженням з органом виконавчої влади з питань охорони навколишнього природного середовища, обласними, державними адміністраціями.</w:t>
      </w:r>
    </w:p>
    <w:p w14:paraId="2698B1A5">
      <w:pPr>
        <w:ind w:firstLine="720"/>
        <w:jc w:val="both"/>
        <w:rPr>
          <w:sz w:val="28"/>
          <w:szCs w:val="28"/>
        </w:rPr>
      </w:pPr>
      <w:r>
        <w:rPr>
          <w:sz w:val="28"/>
          <w:szCs w:val="28"/>
          <w:lang w:val="uk-UA"/>
        </w:rPr>
        <w:t xml:space="preserve">4.5.1 </w:t>
      </w:r>
      <w:r>
        <w:rPr>
          <w:sz w:val="28"/>
          <w:szCs w:val="28"/>
        </w:rPr>
        <w:t>Видача дозволів здійснюється на підставі клопотання (заявки) природокористувача, погодженого із власником або постійним користувачем земельної ділянки та заінтересованими органами.</w:t>
      </w:r>
    </w:p>
    <w:p w14:paraId="011468BE">
      <w:pPr>
        <w:ind w:firstLine="720"/>
        <w:jc w:val="both"/>
        <w:rPr>
          <w:sz w:val="28"/>
          <w:szCs w:val="28"/>
          <w:lang w:val="uk-UA"/>
        </w:rPr>
      </w:pPr>
      <w:r>
        <w:rPr>
          <w:sz w:val="28"/>
          <w:szCs w:val="28"/>
          <w:lang w:val="uk-UA"/>
        </w:rPr>
        <w:t>4.5.2 Дозвіл видається протягом місяця з моменту подання клопотання та узгоджується з лімітами. Підставами для відмови у видачі дозволу може бути відсутність затвердженого в установленому порядку ліміту, або рішення науково – технічної ради КЗ СОР «РЛП «Сеймський», чи порушення умов природокористування та режиму території природно-заповідного фонду.</w:t>
      </w:r>
    </w:p>
    <w:p w14:paraId="27C98830">
      <w:pPr>
        <w:ind w:firstLine="720"/>
        <w:jc w:val="both"/>
        <w:rPr>
          <w:sz w:val="28"/>
          <w:szCs w:val="28"/>
        </w:rPr>
      </w:pPr>
      <w:r>
        <w:rPr>
          <w:sz w:val="28"/>
          <w:szCs w:val="28"/>
          <w:lang w:val="uk-UA"/>
        </w:rPr>
        <w:t xml:space="preserve">4.5.3 </w:t>
      </w:r>
      <w:r>
        <w:rPr>
          <w:sz w:val="28"/>
          <w:szCs w:val="28"/>
        </w:rPr>
        <w:t>Прийняття рішення про відмову у видачі дозволу на спеціальне використання природних ресурсів у межах територій та об’єктів природно-заповідного фонду здійснюється у місячний строк.</w:t>
      </w:r>
    </w:p>
    <w:p w14:paraId="7AF83872">
      <w:pPr>
        <w:ind w:firstLine="720"/>
        <w:jc w:val="both"/>
        <w:rPr>
          <w:sz w:val="28"/>
          <w:szCs w:val="28"/>
          <w:lang w:val="uk-UA"/>
        </w:rPr>
      </w:pPr>
      <w:r>
        <w:rPr>
          <w:sz w:val="28"/>
          <w:szCs w:val="28"/>
          <w:lang w:val="uk-UA"/>
        </w:rPr>
        <w:t xml:space="preserve">4.5.4 </w:t>
      </w:r>
      <w:r>
        <w:rPr>
          <w:sz w:val="28"/>
          <w:szCs w:val="28"/>
        </w:rPr>
        <w:t>Проведення рубок формування і оздоровлення лісів, інших видів рубок здійснюється в межах затверджених планів та на підставі рішень науково-технічних рад установ природно-заповідного фонду згідно з лімітом на використання природних ресурсів на підставі дозволів.</w:t>
      </w:r>
    </w:p>
    <w:p w14:paraId="580049C5">
      <w:pPr>
        <w:jc w:val="both"/>
        <w:rPr>
          <w:sz w:val="28"/>
          <w:szCs w:val="28"/>
          <w:lang w:val="uk-UA"/>
        </w:rPr>
      </w:pPr>
    </w:p>
    <w:p w14:paraId="5344CFEA">
      <w:pPr>
        <w:ind w:firstLine="720"/>
        <w:jc w:val="both"/>
        <w:rPr>
          <w:b/>
          <w:sz w:val="28"/>
          <w:szCs w:val="28"/>
          <w:lang w:val="uk-UA"/>
        </w:rPr>
      </w:pPr>
      <w:r>
        <w:rPr>
          <w:b/>
          <w:sz w:val="28"/>
          <w:szCs w:val="28"/>
          <w:lang w:val="uk-UA"/>
        </w:rPr>
        <w:t>5. Прикінцеві положення</w:t>
      </w:r>
    </w:p>
    <w:p w14:paraId="2CCCF550">
      <w:pPr>
        <w:jc w:val="both"/>
        <w:rPr>
          <w:sz w:val="28"/>
          <w:szCs w:val="28"/>
          <w:lang w:val="uk-UA"/>
        </w:rPr>
      </w:pPr>
    </w:p>
    <w:p w14:paraId="5E5EA416">
      <w:pPr>
        <w:ind w:firstLine="720"/>
        <w:jc w:val="both"/>
        <w:rPr>
          <w:sz w:val="28"/>
          <w:szCs w:val="28"/>
          <w:lang w:val="uk-UA"/>
        </w:rPr>
      </w:pPr>
      <w:r>
        <w:rPr>
          <w:sz w:val="28"/>
          <w:szCs w:val="28"/>
          <w:lang w:val="uk-UA"/>
        </w:rPr>
        <w:t>5.1. При проведенні робіт з видалення зелених насаджень необхідно дотримуватись вимог Постанови Кабінету Міністрів України від 04.03.1997 №209 «Про затвердження Правил охорони електричних мереж», Наказом Міністерства регіонального розвитку, будівництва та житлово-комунального господарства України «Про затвердження Типових правил благоустрою території населеного пункту» від 27.11.2017 № 310, Наказу Держжитлокомунгоспу України від 30.11.1995 №51 «Про затвердження правил охорони праці під час проведення робіт з видалення  дерев  і  пеньків  у  населених  пунктах України» (зі змінами).</w:t>
      </w:r>
    </w:p>
    <w:p w14:paraId="403A08F5">
      <w:pPr>
        <w:ind w:firstLine="720"/>
        <w:jc w:val="both"/>
        <w:rPr>
          <w:sz w:val="28"/>
          <w:szCs w:val="28"/>
          <w:lang w:val="uk-UA"/>
        </w:rPr>
      </w:pPr>
      <w:r>
        <w:rPr>
          <w:sz w:val="28"/>
          <w:szCs w:val="28"/>
          <w:lang w:val="uk-UA"/>
        </w:rPr>
        <w:t>5.2. Виконавець робіт – суб’єкт господарювання (підприємство, організація, установа, фізична особа-підприємець, тощо), якому видано примірник акту та/або ордер на видалення зелених насаджень, перебуваючи на місці проведення відповідних робіт повинен мати при собі відповідні дозвільні документи (примірник акту обстеження зелених насаджень, що підлягають видаленню або оригінал ордеру на видалення зелених насаджень).</w:t>
      </w:r>
    </w:p>
    <w:p w14:paraId="69B0F385">
      <w:pPr>
        <w:ind w:firstLine="720"/>
        <w:jc w:val="both"/>
        <w:rPr>
          <w:sz w:val="28"/>
          <w:szCs w:val="28"/>
          <w:lang w:val="uk-UA"/>
        </w:rPr>
      </w:pPr>
      <w:r>
        <w:rPr>
          <w:sz w:val="28"/>
          <w:szCs w:val="28"/>
          <w:lang w:val="uk-UA"/>
        </w:rPr>
        <w:t xml:space="preserve">Виконавець робіт несе відповідальність за організацію робіт та видалення зелених насаджень згідно діючого законодавства України. </w:t>
      </w:r>
    </w:p>
    <w:p w14:paraId="10D209E1">
      <w:pPr>
        <w:ind w:firstLine="720"/>
        <w:jc w:val="both"/>
        <w:rPr>
          <w:sz w:val="28"/>
          <w:szCs w:val="28"/>
          <w:lang w:val="uk-UA"/>
        </w:rPr>
      </w:pPr>
      <w:r>
        <w:rPr>
          <w:sz w:val="28"/>
          <w:szCs w:val="28"/>
          <w:lang w:val="uk-UA"/>
        </w:rPr>
        <w:t>Виконавець робіт несе відповідальність за відновлення благоустрою після видалення та підрізки зелених насаджень.</w:t>
      </w:r>
    </w:p>
    <w:p w14:paraId="76AE0264">
      <w:pPr>
        <w:jc w:val="both"/>
        <w:rPr>
          <w:sz w:val="28"/>
          <w:szCs w:val="28"/>
          <w:lang w:val="uk-UA"/>
        </w:rPr>
      </w:pPr>
    </w:p>
    <w:p w14:paraId="7009981C">
      <w:pPr>
        <w:jc w:val="both"/>
        <w:rPr>
          <w:sz w:val="28"/>
          <w:szCs w:val="28"/>
          <w:lang w:val="uk-UA"/>
        </w:rPr>
      </w:pPr>
      <w:r>
        <w:rPr>
          <w:sz w:val="28"/>
          <w:szCs w:val="28"/>
          <w:lang w:val="uk-UA"/>
        </w:rPr>
        <w:t xml:space="preserve">                                                    </w:t>
      </w:r>
    </w:p>
    <w:p w14:paraId="4D95E105">
      <w:pPr>
        <w:jc w:val="both"/>
        <w:rPr>
          <w:b/>
          <w:sz w:val="28"/>
          <w:szCs w:val="28"/>
          <w:lang w:val="uk-UA"/>
        </w:rPr>
      </w:pPr>
      <w:r>
        <w:rPr>
          <w:b/>
          <w:sz w:val="28"/>
          <w:szCs w:val="28"/>
          <w:lang w:val="uk-UA"/>
        </w:rPr>
        <w:t>Секретар ради                                                               Валентина МАЛІГОН</w:t>
      </w:r>
    </w:p>
    <w:p w14:paraId="7DCF238E">
      <w:pPr>
        <w:rPr>
          <w:b/>
          <w:sz w:val="24"/>
          <w:szCs w:val="24"/>
          <w:lang w:val="uk-UA"/>
        </w:rPr>
      </w:pPr>
    </w:p>
    <w:p w14:paraId="7BFFF4A2">
      <w:pPr>
        <w:rPr>
          <w:sz w:val="24"/>
          <w:szCs w:val="24"/>
          <w:lang w:val="uk-UA"/>
        </w:rPr>
      </w:pPr>
    </w:p>
    <w:p w14:paraId="66C5601D">
      <w:pPr>
        <w:rPr>
          <w:sz w:val="24"/>
          <w:szCs w:val="24"/>
          <w:lang w:val="uk-UA"/>
        </w:rPr>
      </w:pPr>
    </w:p>
    <w:p w14:paraId="1B3DE9CA">
      <w:pPr>
        <w:rPr>
          <w:sz w:val="24"/>
          <w:szCs w:val="24"/>
          <w:lang w:val="uk-UA"/>
        </w:rPr>
      </w:pPr>
    </w:p>
    <w:p w14:paraId="5AA160C3">
      <w:pPr>
        <w:rPr>
          <w:sz w:val="24"/>
          <w:szCs w:val="24"/>
          <w:lang w:val="uk-UA"/>
        </w:rPr>
      </w:pPr>
    </w:p>
    <w:p w14:paraId="6B6F5CCC">
      <w:pPr>
        <w:rPr>
          <w:sz w:val="24"/>
          <w:szCs w:val="24"/>
          <w:lang w:val="uk-UA"/>
        </w:rPr>
      </w:pPr>
    </w:p>
    <w:p w14:paraId="71B8F576">
      <w:pPr>
        <w:rPr>
          <w:sz w:val="24"/>
          <w:szCs w:val="24"/>
          <w:lang w:val="uk-UA"/>
        </w:rPr>
      </w:pPr>
    </w:p>
    <w:p w14:paraId="4B54817E">
      <w:pPr>
        <w:rPr>
          <w:sz w:val="24"/>
          <w:szCs w:val="24"/>
          <w:lang w:val="uk-UA"/>
        </w:rPr>
      </w:pPr>
    </w:p>
    <w:p w14:paraId="1B2F5EAD">
      <w:pPr>
        <w:rPr>
          <w:sz w:val="24"/>
          <w:szCs w:val="24"/>
          <w:lang w:val="uk-UA"/>
        </w:rPr>
      </w:pPr>
    </w:p>
    <w:p w14:paraId="6DD6308B">
      <w:pPr>
        <w:rPr>
          <w:sz w:val="24"/>
          <w:szCs w:val="24"/>
          <w:lang w:val="uk-UA"/>
        </w:rPr>
      </w:pPr>
    </w:p>
    <w:p w14:paraId="5FC8729A">
      <w:pPr>
        <w:rPr>
          <w:sz w:val="24"/>
          <w:szCs w:val="24"/>
          <w:lang w:val="uk-UA"/>
        </w:rPr>
      </w:pPr>
    </w:p>
    <w:p w14:paraId="4B3E49B6">
      <w:pPr>
        <w:rPr>
          <w:sz w:val="24"/>
          <w:szCs w:val="24"/>
          <w:lang w:val="uk-UA"/>
        </w:rPr>
      </w:pPr>
    </w:p>
    <w:p w14:paraId="4D6292C2">
      <w:pPr>
        <w:rPr>
          <w:sz w:val="24"/>
          <w:szCs w:val="24"/>
          <w:lang w:val="uk-UA"/>
        </w:rPr>
      </w:pPr>
    </w:p>
    <w:p w14:paraId="071F4347">
      <w:pPr>
        <w:rPr>
          <w:sz w:val="24"/>
          <w:szCs w:val="24"/>
          <w:lang w:val="uk-UA"/>
        </w:rPr>
      </w:pPr>
    </w:p>
    <w:p w14:paraId="65966496">
      <w:pPr>
        <w:rPr>
          <w:sz w:val="24"/>
          <w:szCs w:val="24"/>
          <w:lang w:val="uk-UA"/>
        </w:rPr>
      </w:pPr>
    </w:p>
    <w:p w14:paraId="26DC3B4F">
      <w:pPr>
        <w:rPr>
          <w:sz w:val="24"/>
          <w:szCs w:val="24"/>
          <w:lang w:val="uk-UA"/>
        </w:rPr>
      </w:pPr>
    </w:p>
    <w:p w14:paraId="3B1ABEB8">
      <w:pPr>
        <w:rPr>
          <w:sz w:val="24"/>
          <w:szCs w:val="24"/>
          <w:lang w:val="uk-UA"/>
        </w:rPr>
      </w:pPr>
    </w:p>
    <w:p w14:paraId="42EB487E">
      <w:pPr>
        <w:rPr>
          <w:sz w:val="24"/>
          <w:szCs w:val="24"/>
          <w:lang w:val="uk-UA"/>
        </w:rPr>
      </w:pPr>
    </w:p>
    <w:p w14:paraId="7351A7BC">
      <w:pPr>
        <w:rPr>
          <w:sz w:val="24"/>
          <w:szCs w:val="24"/>
          <w:lang w:val="uk-UA"/>
        </w:rPr>
      </w:pPr>
    </w:p>
    <w:p w14:paraId="42F433E7">
      <w:pPr>
        <w:rPr>
          <w:sz w:val="24"/>
          <w:szCs w:val="24"/>
          <w:lang w:val="uk-UA"/>
        </w:rPr>
      </w:pPr>
    </w:p>
    <w:p w14:paraId="34BD4AF2">
      <w:pPr>
        <w:rPr>
          <w:sz w:val="24"/>
          <w:szCs w:val="24"/>
          <w:lang w:val="uk-UA"/>
        </w:rPr>
      </w:pPr>
    </w:p>
    <w:p w14:paraId="32E18ED7">
      <w:pPr>
        <w:rPr>
          <w:sz w:val="24"/>
          <w:szCs w:val="24"/>
          <w:lang w:val="uk-UA"/>
        </w:rPr>
      </w:pPr>
    </w:p>
    <w:p w14:paraId="6D4AEA29">
      <w:pPr>
        <w:rPr>
          <w:sz w:val="24"/>
          <w:szCs w:val="24"/>
          <w:lang w:val="uk-UA"/>
        </w:rPr>
      </w:pPr>
    </w:p>
    <w:p w14:paraId="4FFC8CC9">
      <w:pPr>
        <w:rPr>
          <w:sz w:val="24"/>
          <w:szCs w:val="24"/>
          <w:lang w:val="uk-UA"/>
        </w:rPr>
      </w:pPr>
    </w:p>
    <w:p w14:paraId="637DE1E6">
      <w:pPr>
        <w:rPr>
          <w:sz w:val="24"/>
          <w:szCs w:val="24"/>
          <w:lang w:val="uk-UA"/>
        </w:rPr>
      </w:pPr>
    </w:p>
    <w:p w14:paraId="30E36229">
      <w:pPr>
        <w:rPr>
          <w:sz w:val="24"/>
          <w:szCs w:val="24"/>
          <w:lang w:val="uk-UA"/>
        </w:rPr>
      </w:pPr>
    </w:p>
    <w:p w14:paraId="1E749DC4">
      <w:pPr>
        <w:rPr>
          <w:sz w:val="24"/>
          <w:szCs w:val="24"/>
          <w:lang w:val="uk-UA"/>
        </w:rPr>
      </w:pPr>
    </w:p>
    <w:p w14:paraId="7C054605">
      <w:pPr>
        <w:rPr>
          <w:sz w:val="24"/>
          <w:szCs w:val="24"/>
          <w:lang w:val="uk-UA"/>
        </w:rPr>
      </w:pPr>
    </w:p>
    <w:p w14:paraId="25B95322">
      <w:pPr>
        <w:rPr>
          <w:sz w:val="24"/>
          <w:szCs w:val="24"/>
          <w:lang w:val="uk-UA"/>
        </w:rPr>
      </w:pPr>
    </w:p>
    <w:p w14:paraId="1E7188B6">
      <w:pPr>
        <w:rPr>
          <w:sz w:val="24"/>
          <w:szCs w:val="24"/>
          <w:lang w:val="uk-UA"/>
        </w:rPr>
      </w:pPr>
    </w:p>
    <w:p w14:paraId="7422C539">
      <w:pPr>
        <w:rPr>
          <w:sz w:val="24"/>
          <w:szCs w:val="24"/>
          <w:lang w:val="uk-UA"/>
        </w:rPr>
      </w:pPr>
    </w:p>
    <w:p w14:paraId="5C3F14A4">
      <w:pPr>
        <w:rPr>
          <w:sz w:val="24"/>
          <w:szCs w:val="24"/>
          <w:lang w:val="uk-UA"/>
        </w:rPr>
      </w:pPr>
    </w:p>
    <w:p w14:paraId="516CAC04">
      <w:pPr>
        <w:rPr>
          <w:sz w:val="24"/>
          <w:szCs w:val="24"/>
          <w:lang w:val="uk-UA"/>
        </w:rPr>
      </w:pPr>
    </w:p>
    <w:p w14:paraId="2EBEEFEA">
      <w:pPr>
        <w:rPr>
          <w:sz w:val="24"/>
          <w:szCs w:val="24"/>
          <w:lang w:val="uk-UA"/>
        </w:rPr>
      </w:pPr>
    </w:p>
    <w:p w14:paraId="35D60967">
      <w:pPr>
        <w:rPr>
          <w:sz w:val="24"/>
          <w:szCs w:val="24"/>
          <w:lang w:val="uk-UA"/>
        </w:rPr>
      </w:pPr>
    </w:p>
    <w:p w14:paraId="24827FB3">
      <w:pPr>
        <w:rPr>
          <w:sz w:val="24"/>
          <w:szCs w:val="24"/>
          <w:lang w:val="uk-UA"/>
        </w:rPr>
      </w:pPr>
    </w:p>
    <w:p w14:paraId="122F4106">
      <w:pPr>
        <w:ind w:left="7371"/>
        <w:rPr>
          <w:sz w:val="28"/>
          <w:szCs w:val="28"/>
          <w:lang w:val="uk-UA"/>
        </w:rPr>
      </w:pPr>
      <w:r>
        <w:rPr>
          <w:sz w:val="28"/>
          <w:szCs w:val="28"/>
          <w:lang w:val="uk-UA"/>
        </w:rPr>
        <w:t xml:space="preserve">Додаток 1 </w:t>
      </w:r>
    </w:p>
    <w:p w14:paraId="150B46C6">
      <w:pPr>
        <w:ind w:left="7371"/>
        <w:rPr>
          <w:sz w:val="28"/>
          <w:szCs w:val="28"/>
          <w:lang w:val="uk-UA"/>
        </w:rPr>
      </w:pPr>
      <w:r>
        <w:rPr>
          <w:sz w:val="28"/>
          <w:szCs w:val="28"/>
          <w:lang w:val="uk-UA"/>
        </w:rPr>
        <w:t>до Положення</w:t>
      </w:r>
    </w:p>
    <w:p w14:paraId="380B693A">
      <w:pPr>
        <w:shd w:val="clear" w:color="auto" w:fill="FFFFFF"/>
        <w:spacing w:line="435" w:lineRule="atLeast"/>
        <w:ind w:left="142"/>
        <w:jc w:val="center"/>
        <w:outlineLvl w:val="2"/>
        <w:rPr>
          <w:rFonts w:ascii="Arial" w:hAnsi="Arial" w:cs="Arial"/>
          <w:color w:val="2A2928"/>
          <w:sz w:val="32"/>
          <w:szCs w:val="32"/>
          <w:lang w:val="uk-UA"/>
        </w:rPr>
      </w:pPr>
      <w:r>
        <w:fldChar w:fldCharType="begin"/>
      </w:r>
      <w:r>
        <w:instrText xml:space="preserve"> HYPERLINK "http://search.ligazakon.ua/l_doc2.nsf/link1/RE21879.html" \t "_top" </w:instrText>
      </w:r>
      <w:r>
        <w:fldChar w:fldCharType="separate"/>
      </w:r>
      <w:r>
        <w:rPr>
          <w:rFonts w:ascii="Arial" w:hAnsi="Arial" w:cs="Arial"/>
          <w:sz w:val="32"/>
          <w:szCs w:val="22"/>
        </w:rPr>
        <w:t>Акт</w:t>
      </w:r>
      <w:r>
        <w:rPr>
          <w:rFonts w:ascii="Arial" w:hAnsi="Arial" w:cs="Arial"/>
          <w:sz w:val="32"/>
          <w:szCs w:val="22"/>
        </w:rPr>
        <w:fldChar w:fldCharType="end"/>
      </w:r>
      <w:r>
        <w:rPr>
          <w:rFonts w:ascii="Arial" w:hAnsi="Arial" w:cs="Arial"/>
          <w:sz w:val="32"/>
          <w:szCs w:val="32"/>
          <w:lang w:val="uk-UA"/>
        </w:rPr>
        <w:t xml:space="preserve"> </w:t>
      </w:r>
      <w:r>
        <w:rPr>
          <w:rFonts w:ascii="Arial" w:hAnsi="Arial" w:cs="Arial"/>
          <w:color w:val="2A2928"/>
          <w:sz w:val="32"/>
          <w:szCs w:val="32"/>
          <w:lang w:val="uk-UA"/>
        </w:rPr>
        <w:t>№___</w:t>
      </w:r>
    </w:p>
    <w:p w14:paraId="45CFE822">
      <w:pPr>
        <w:shd w:val="clear" w:color="auto" w:fill="FFFFFF"/>
        <w:spacing w:line="435" w:lineRule="atLeast"/>
        <w:jc w:val="center"/>
        <w:outlineLvl w:val="2"/>
        <w:rPr>
          <w:rFonts w:ascii="Arial" w:hAnsi="Arial" w:cs="Arial"/>
          <w:color w:val="2A2928"/>
          <w:sz w:val="32"/>
          <w:szCs w:val="32"/>
        </w:rPr>
      </w:pPr>
      <w:r>
        <w:rPr>
          <w:rFonts w:ascii="Arial" w:hAnsi="Arial" w:cs="Arial"/>
          <w:color w:val="2A2928"/>
          <w:sz w:val="32"/>
          <w:szCs w:val="32"/>
        </w:rPr>
        <w:t>обстеження зелених насаджень, що підлягають видаленню</w:t>
      </w:r>
    </w:p>
    <w:tbl>
      <w:tblPr>
        <w:tblStyle w:val="3"/>
        <w:tblW w:w="10353" w:type="dxa"/>
        <w:jc w:val="center"/>
        <w:tblCellSpacing w:w="22" w:type="dxa"/>
        <w:shd w:val="clear" w:color="auto" w:fill="FFFFFF"/>
        <w:tblLayout w:type="autofit"/>
        <w:tblCellMar>
          <w:top w:w="105" w:type="dxa"/>
          <w:left w:w="810" w:type="dxa"/>
          <w:bottom w:w="105" w:type="dxa"/>
          <w:right w:w="810" w:type="dxa"/>
        </w:tblCellMar>
      </w:tblPr>
      <w:tblGrid>
        <w:gridCol w:w="5310"/>
        <w:gridCol w:w="5043"/>
      </w:tblGrid>
      <w:tr w14:paraId="70752B68">
        <w:tblPrEx>
          <w:shd w:val="clear" w:color="auto" w:fill="FFFFFF"/>
          <w:tblCellMar>
            <w:top w:w="105" w:type="dxa"/>
            <w:left w:w="810" w:type="dxa"/>
            <w:bottom w:w="105" w:type="dxa"/>
            <w:right w:w="810" w:type="dxa"/>
          </w:tblCellMar>
        </w:tblPrEx>
        <w:trPr>
          <w:tblCellSpacing w:w="22" w:type="dxa"/>
          <w:jc w:val="center"/>
        </w:trPr>
        <w:tc>
          <w:tcPr>
            <w:tcW w:w="2533" w:type="pct"/>
            <w:shd w:val="clear" w:color="auto" w:fill="FFFFFF"/>
            <w:tcMar>
              <w:top w:w="0" w:type="dxa"/>
              <w:left w:w="0" w:type="dxa"/>
              <w:bottom w:w="0" w:type="dxa"/>
              <w:right w:w="0" w:type="dxa"/>
            </w:tcMar>
            <w:vAlign w:val="center"/>
          </w:tcPr>
          <w:p w14:paraId="7983632E">
            <w:pPr>
              <w:spacing w:line="360" w:lineRule="atLeast"/>
              <w:rPr>
                <w:rFonts w:ascii="Arial" w:hAnsi="Arial" w:cs="Arial"/>
                <w:color w:val="2A2928"/>
                <w:sz w:val="24"/>
                <w:szCs w:val="24"/>
              </w:rPr>
            </w:pPr>
            <w:r>
              <w:rPr>
                <w:rFonts w:ascii="Arial" w:hAnsi="Arial" w:cs="Arial"/>
                <w:color w:val="2A2928"/>
                <w:sz w:val="24"/>
                <w:szCs w:val="24"/>
                <w:lang w:val="uk-UA"/>
              </w:rPr>
              <w:t xml:space="preserve">С. </w:t>
            </w:r>
            <w:r>
              <w:rPr>
                <w:rFonts w:ascii="Arial" w:hAnsi="Arial" w:cs="Arial"/>
                <w:color w:val="2A2928"/>
                <w:sz w:val="24"/>
                <w:szCs w:val="24"/>
              </w:rPr>
              <w:t>________________</w:t>
            </w:r>
            <w:r>
              <w:rPr>
                <w:rFonts w:ascii="Arial" w:hAnsi="Arial" w:cs="Arial"/>
                <w:color w:val="2A2928"/>
                <w:sz w:val="24"/>
                <w:szCs w:val="24"/>
                <w:lang w:val="uk-UA"/>
              </w:rPr>
              <w:t>___Попівської сільської ради Конотопського району Сумської області</w:t>
            </w:r>
            <w:r>
              <w:rPr>
                <w:rFonts w:ascii="Arial" w:hAnsi="Arial" w:cs="Arial"/>
                <w:color w:val="2A2928"/>
                <w:sz w:val="24"/>
                <w:szCs w:val="24"/>
              </w:rPr>
              <w:br w:type="textWrapping"/>
            </w:r>
            <w:r>
              <w:rPr>
                <w:rFonts w:ascii="Arial" w:hAnsi="Arial" w:cs="Arial"/>
                <w:color w:val="2A2928"/>
                <w:sz w:val="24"/>
                <w:szCs w:val="24"/>
              </w:rPr>
              <w:t>(</w:t>
            </w:r>
            <w:r>
              <w:rPr>
                <w:rFonts w:ascii="Arial" w:hAnsi="Arial" w:cs="Arial"/>
                <w:color w:val="2A2928"/>
              </w:rPr>
              <w:t>назва населеного пункту</w:t>
            </w:r>
            <w:r>
              <w:rPr>
                <w:rFonts w:ascii="Arial" w:hAnsi="Arial" w:cs="Arial"/>
                <w:color w:val="2A2928"/>
                <w:sz w:val="24"/>
                <w:szCs w:val="24"/>
              </w:rPr>
              <w:t>) </w:t>
            </w:r>
          </w:p>
        </w:tc>
        <w:tc>
          <w:tcPr>
            <w:tcW w:w="2404" w:type="pct"/>
            <w:shd w:val="clear" w:color="auto" w:fill="FFFFFF"/>
            <w:tcMar>
              <w:top w:w="0" w:type="dxa"/>
              <w:left w:w="0" w:type="dxa"/>
              <w:bottom w:w="0" w:type="dxa"/>
              <w:right w:w="0" w:type="dxa"/>
            </w:tcMar>
            <w:vAlign w:val="center"/>
          </w:tcPr>
          <w:p w14:paraId="4C4231D4">
            <w:pPr>
              <w:spacing w:line="360" w:lineRule="atLeast"/>
              <w:rPr>
                <w:rFonts w:ascii="Arial" w:hAnsi="Arial" w:cs="Arial"/>
                <w:color w:val="2A2928"/>
                <w:sz w:val="24"/>
                <w:szCs w:val="24"/>
              </w:rPr>
            </w:pPr>
            <w:r>
              <w:rPr>
                <w:rFonts w:ascii="Arial" w:hAnsi="Arial" w:cs="Arial"/>
                <w:color w:val="2A2928"/>
                <w:sz w:val="24"/>
                <w:szCs w:val="24"/>
              </w:rPr>
              <w:t>"___" ____________ 20__ року </w:t>
            </w:r>
          </w:p>
        </w:tc>
      </w:tr>
    </w:tbl>
    <w:p w14:paraId="707FB854">
      <w:pPr>
        <w:rPr>
          <w:vanish/>
          <w:sz w:val="24"/>
          <w:szCs w:val="24"/>
        </w:rPr>
      </w:pPr>
    </w:p>
    <w:tbl>
      <w:tblPr>
        <w:tblStyle w:val="3"/>
        <w:tblW w:w="10500" w:type="dxa"/>
        <w:jc w:val="center"/>
        <w:tblCellSpacing w:w="22" w:type="dxa"/>
        <w:shd w:val="clear" w:color="auto" w:fill="FFFFFF"/>
        <w:tblLayout w:type="autofit"/>
        <w:tblCellMar>
          <w:top w:w="105" w:type="dxa"/>
          <w:left w:w="810" w:type="dxa"/>
          <w:bottom w:w="105" w:type="dxa"/>
          <w:right w:w="810" w:type="dxa"/>
        </w:tblCellMar>
      </w:tblPr>
      <w:tblGrid>
        <w:gridCol w:w="10500"/>
      </w:tblGrid>
      <w:tr w14:paraId="0B491B37">
        <w:tblPrEx>
          <w:shd w:val="clear" w:color="auto" w:fill="FFFFFF"/>
          <w:tblCellMar>
            <w:top w:w="105" w:type="dxa"/>
            <w:left w:w="810" w:type="dxa"/>
            <w:bottom w:w="105" w:type="dxa"/>
            <w:right w:w="810" w:type="dxa"/>
          </w:tblCellMar>
        </w:tblPrEx>
        <w:trPr>
          <w:tblCellSpacing w:w="22" w:type="dxa"/>
          <w:jc w:val="center"/>
        </w:trPr>
        <w:tc>
          <w:tcPr>
            <w:tcW w:w="0" w:type="auto"/>
            <w:shd w:val="clear" w:color="auto" w:fill="FFFFFF"/>
            <w:tcMar>
              <w:top w:w="0" w:type="dxa"/>
              <w:left w:w="0" w:type="dxa"/>
              <w:bottom w:w="0" w:type="dxa"/>
              <w:right w:w="0" w:type="dxa"/>
            </w:tcMar>
            <w:vAlign w:val="center"/>
          </w:tcPr>
          <w:p w14:paraId="0E182644">
            <w:pPr>
              <w:spacing w:line="360" w:lineRule="atLeast"/>
              <w:rPr>
                <w:rFonts w:ascii="Arial" w:hAnsi="Arial" w:cs="Arial"/>
                <w:color w:val="2A2928"/>
                <w:sz w:val="24"/>
                <w:szCs w:val="24"/>
                <w:lang w:val="uk-UA"/>
              </w:rPr>
            </w:pPr>
            <w:r>
              <w:rPr>
                <w:rFonts w:ascii="Arial" w:hAnsi="Arial" w:cs="Arial"/>
                <w:color w:val="2A2928"/>
                <w:sz w:val="24"/>
                <w:szCs w:val="24"/>
              </w:rPr>
              <w:t>Комісію призначено</w:t>
            </w:r>
            <w:r>
              <w:rPr>
                <w:rFonts w:ascii="Arial" w:hAnsi="Arial" w:cs="Arial"/>
                <w:color w:val="2A2928"/>
                <w:sz w:val="24"/>
                <w:szCs w:val="24"/>
                <w:lang w:val="uk-UA"/>
              </w:rPr>
              <w:t>:</w:t>
            </w:r>
            <w:r>
              <w:rPr>
                <w:rFonts w:ascii="Arial" w:hAnsi="Arial" w:cs="Arial"/>
                <w:color w:val="2A2928"/>
                <w:sz w:val="24"/>
                <w:szCs w:val="24"/>
              </w:rPr>
              <w:t xml:space="preserve"> </w:t>
            </w:r>
            <w:r>
              <w:rPr>
                <w:rFonts w:ascii="Arial" w:hAnsi="Arial" w:cs="Arial"/>
                <w:color w:val="2A2928"/>
                <w:sz w:val="24"/>
                <w:szCs w:val="24"/>
                <w:u w:val="single"/>
                <w:lang w:val="uk-UA"/>
              </w:rPr>
              <w:t xml:space="preserve">Розпорядження голови Попівської сільської ради Конотопського району Сумської області </w:t>
            </w:r>
            <w:r>
              <w:rPr>
                <w:rFonts w:ascii="Arial" w:hAnsi="Arial" w:cs="Arial"/>
                <w:b/>
                <w:color w:val="2A2928"/>
                <w:sz w:val="24"/>
                <w:szCs w:val="24"/>
                <w:u w:val="single"/>
                <w:lang w:val="uk-UA"/>
              </w:rPr>
              <w:t>№</w:t>
            </w:r>
            <w:r>
              <w:rPr>
                <w:rFonts w:ascii="Arial" w:hAnsi="Arial" w:cs="Arial"/>
                <w:b/>
                <w:color w:val="2A2928"/>
                <w:sz w:val="24"/>
                <w:szCs w:val="24"/>
                <w:u w:val="single"/>
              </w:rPr>
              <w:t>_____</w:t>
            </w:r>
            <w:r>
              <w:rPr>
                <w:rFonts w:ascii="Arial" w:hAnsi="Arial" w:cs="Arial"/>
                <w:b/>
                <w:color w:val="2A2928"/>
                <w:sz w:val="24"/>
                <w:szCs w:val="24"/>
                <w:u w:val="single"/>
                <w:lang w:val="uk-UA"/>
              </w:rPr>
              <w:t xml:space="preserve"> </w:t>
            </w:r>
            <w:r>
              <w:rPr>
                <w:rFonts w:ascii="Arial" w:hAnsi="Arial" w:cs="Arial"/>
                <w:b/>
                <w:color w:val="2A2928"/>
                <w:sz w:val="24"/>
                <w:szCs w:val="24"/>
                <w:u w:val="single"/>
              </w:rPr>
              <w:t>___</w:t>
            </w:r>
            <w:r>
              <w:rPr>
                <w:rFonts w:ascii="Arial" w:hAnsi="Arial" w:cs="Arial"/>
                <w:b/>
                <w:color w:val="2A2928"/>
                <w:sz w:val="24"/>
                <w:szCs w:val="24"/>
                <w:u w:val="single"/>
                <w:lang w:val="uk-UA"/>
              </w:rPr>
              <w:t xml:space="preserve"> від </w:t>
            </w:r>
            <w:r>
              <w:rPr>
                <w:rFonts w:ascii="Arial" w:hAnsi="Arial" w:cs="Arial"/>
                <w:b/>
                <w:color w:val="2A2928"/>
                <w:sz w:val="24"/>
                <w:szCs w:val="24"/>
                <w:u w:val="single"/>
              </w:rPr>
              <w:t xml:space="preserve">_ </w:t>
            </w:r>
            <w:r>
              <w:rPr>
                <w:rFonts w:ascii="Arial" w:hAnsi="Arial" w:cs="Arial"/>
                <w:b/>
                <w:color w:val="2A2928"/>
                <w:sz w:val="24"/>
                <w:szCs w:val="24"/>
              </w:rPr>
              <w:t>_</w:t>
            </w:r>
            <w:r>
              <w:rPr>
                <w:rFonts w:ascii="Arial" w:hAnsi="Arial" w:cs="Arial"/>
                <w:b/>
                <w:color w:val="2A2928"/>
                <w:sz w:val="24"/>
                <w:szCs w:val="24"/>
                <w:lang w:val="uk-UA"/>
              </w:rPr>
              <w:t>______________</w:t>
            </w:r>
            <w:r>
              <w:rPr>
                <w:rFonts w:ascii="Arial" w:hAnsi="Arial" w:cs="Arial"/>
                <w:color w:val="2A2928"/>
                <w:sz w:val="24"/>
                <w:szCs w:val="24"/>
              </w:rPr>
              <w:t>(</w:t>
            </w:r>
            <w:r>
              <w:rPr>
                <w:rFonts w:ascii="Arial" w:hAnsi="Arial" w:cs="Arial"/>
                <w:color w:val="2A2928"/>
              </w:rPr>
              <w:t>компетентний орган, який призначив комісію,</w:t>
            </w:r>
            <w:r>
              <w:rPr>
                <w:rFonts w:ascii="Arial" w:hAnsi="Arial" w:cs="Arial"/>
                <w:color w:val="2A2928"/>
                <w:sz w:val="24"/>
                <w:szCs w:val="24"/>
              </w:rPr>
              <w:br w:type="textWrapping"/>
            </w:r>
            <w:r>
              <w:rPr>
                <w:rFonts w:ascii="Arial" w:hAnsi="Arial" w:cs="Arial"/>
                <w:color w:val="2A2928"/>
                <w:sz w:val="24"/>
                <w:szCs w:val="24"/>
                <w:u w:val="single"/>
                <w:lang w:val="uk-UA"/>
              </w:rPr>
              <w:t>Про утворення робочої комісії з обстеження зелених насаджень на території Попівської сільської ради Конотопського району Сумської області________________</w:t>
            </w:r>
            <w:r>
              <w:rPr>
                <w:rFonts w:ascii="Arial" w:hAnsi="Arial" w:cs="Arial"/>
                <w:color w:val="2A2928"/>
                <w:sz w:val="24"/>
                <w:szCs w:val="24"/>
              </w:rPr>
              <w:br w:type="textWrapping"/>
            </w:r>
            <w:r>
              <w:rPr>
                <w:rFonts w:ascii="Arial" w:hAnsi="Arial" w:cs="Arial"/>
                <w:color w:val="2A2928"/>
              </w:rPr>
              <w:t>                 номер, дата розпорядження або наказу про її утворення, стислий зміст (суть) розпорядження)</w:t>
            </w:r>
          </w:p>
          <w:p w14:paraId="62F7444C">
            <w:pPr>
              <w:spacing w:line="360" w:lineRule="atLeast"/>
              <w:rPr>
                <w:rFonts w:ascii="Arial" w:hAnsi="Arial" w:cs="Arial"/>
                <w:color w:val="2A2928"/>
                <w:sz w:val="24"/>
                <w:szCs w:val="24"/>
                <w:lang w:val="uk-UA"/>
              </w:rPr>
            </w:pPr>
            <w:r>
              <w:rPr>
                <w:rFonts w:ascii="Arial" w:hAnsi="Arial" w:cs="Arial"/>
                <w:color w:val="2A2928"/>
                <w:sz w:val="24"/>
                <w:szCs w:val="24"/>
              </w:rPr>
              <w:t xml:space="preserve">Голова комісії </w:t>
            </w:r>
          </w:p>
          <w:p w14:paraId="71B9D7FA">
            <w:pPr>
              <w:spacing w:line="360" w:lineRule="atLeast"/>
              <w:rPr>
                <w:rFonts w:ascii="Arial" w:hAnsi="Arial" w:cs="Arial"/>
                <w:color w:val="2A2928"/>
                <w:sz w:val="24"/>
                <w:szCs w:val="24"/>
              </w:rPr>
            </w:pPr>
            <w:r>
              <w:rPr>
                <w:rFonts w:ascii="Arial" w:hAnsi="Arial" w:cs="Arial"/>
                <w:color w:val="2A2928"/>
                <w:sz w:val="24"/>
                <w:szCs w:val="24"/>
              </w:rPr>
              <w:t xml:space="preserve">      </w:t>
            </w:r>
            <w:r>
              <w:rPr>
                <w:rFonts w:ascii="Arial" w:hAnsi="Arial" w:cs="Arial"/>
                <w:color w:val="2A2928"/>
                <w:sz w:val="24"/>
                <w:szCs w:val="24"/>
                <w:lang w:val="uk-UA"/>
              </w:rPr>
              <w:t xml:space="preserve">                                 </w:t>
            </w:r>
            <w:r>
              <w:rPr>
                <w:rFonts w:ascii="Arial" w:hAnsi="Arial" w:cs="Arial"/>
                <w:color w:val="2A2928"/>
              </w:rPr>
              <w:t>(прізвище, ім'я, по батькові, посада)</w:t>
            </w:r>
          </w:p>
        </w:tc>
      </w:tr>
    </w:tbl>
    <w:p w14:paraId="34890517">
      <w:pPr>
        <w:rPr>
          <w:vanish/>
          <w:sz w:val="24"/>
          <w:szCs w:val="24"/>
        </w:rPr>
      </w:pPr>
    </w:p>
    <w:tbl>
      <w:tblPr>
        <w:tblStyle w:val="3"/>
        <w:tblW w:w="10348" w:type="dxa"/>
        <w:jc w:val="center"/>
        <w:tblCellSpacing w:w="22" w:type="dxa"/>
        <w:shd w:val="clear" w:color="auto" w:fill="FFFFFF"/>
        <w:tblLayout w:type="autofit"/>
        <w:tblCellMar>
          <w:top w:w="105" w:type="dxa"/>
          <w:left w:w="810" w:type="dxa"/>
          <w:bottom w:w="105" w:type="dxa"/>
          <w:right w:w="810" w:type="dxa"/>
        </w:tblCellMar>
      </w:tblPr>
      <w:tblGrid>
        <w:gridCol w:w="1689"/>
        <w:gridCol w:w="1667"/>
        <w:gridCol w:w="16"/>
        <w:gridCol w:w="6909"/>
        <w:gridCol w:w="67"/>
      </w:tblGrid>
      <w:tr w14:paraId="7F51B125">
        <w:tblPrEx>
          <w:shd w:val="clear" w:color="auto" w:fill="FFFFFF"/>
          <w:tblCellMar>
            <w:top w:w="105" w:type="dxa"/>
            <w:left w:w="810" w:type="dxa"/>
            <w:bottom w:w="105" w:type="dxa"/>
            <w:right w:w="810" w:type="dxa"/>
          </w:tblCellMar>
        </w:tblPrEx>
        <w:trPr>
          <w:tblCellSpacing w:w="22" w:type="dxa"/>
          <w:jc w:val="center"/>
        </w:trPr>
        <w:tc>
          <w:tcPr>
            <w:tcW w:w="790" w:type="pct"/>
            <w:shd w:val="clear" w:color="auto" w:fill="FFFFFF"/>
            <w:tcMar>
              <w:top w:w="0" w:type="dxa"/>
              <w:left w:w="0" w:type="dxa"/>
              <w:bottom w:w="0" w:type="dxa"/>
              <w:right w:w="0" w:type="dxa"/>
            </w:tcMar>
            <w:vAlign w:val="center"/>
          </w:tcPr>
          <w:p w14:paraId="04368381">
            <w:pPr>
              <w:spacing w:line="360" w:lineRule="atLeast"/>
              <w:rPr>
                <w:rFonts w:ascii="Arial" w:hAnsi="Arial" w:cs="Arial"/>
                <w:color w:val="2A2928"/>
                <w:sz w:val="24"/>
                <w:szCs w:val="24"/>
              </w:rPr>
            </w:pPr>
            <w:r>
              <w:rPr>
                <w:rFonts w:ascii="Arial" w:hAnsi="Arial" w:cs="Arial"/>
                <w:color w:val="2A2928"/>
                <w:sz w:val="24"/>
                <w:szCs w:val="24"/>
              </w:rPr>
              <w:t>Члени комісії: </w:t>
            </w:r>
          </w:p>
        </w:tc>
        <w:tc>
          <w:tcPr>
            <w:tcW w:w="798" w:type="pct"/>
            <w:gridSpan w:val="2"/>
            <w:shd w:val="clear" w:color="auto" w:fill="FFFFFF"/>
            <w:tcMar>
              <w:top w:w="0" w:type="dxa"/>
              <w:left w:w="0" w:type="dxa"/>
              <w:bottom w:w="0" w:type="dxa"/>
              <w:right w:w="0" w:type="dxa"/>
            </w:tcMar>
            <w:vAlign w:val="center"/>
          </w:tcPr>
          <w:p w14:paraId="44749F87">
            <w:pPr>
              <w:spacing w:line="360" w:lineRule="atLeast"/>
              <w:ind w:right="857"/>
              <w:rPr>
                <w:rFonts w:ascii="Arial" w:hAnsi="Arial" w:cs="Arial"/>
                <w:color w:val="2A2928"/>
                <w:sz w:val="24"/>
                <w:szCs w:val="24"/>
              </w:rPr>
            </w:pPr>
            <w:r>
              <w:rPr>
                <w:rFonts w:ascii="Arial" w:hAnsi="Arial" w:cs="Arial"/>
                <w:color w:val="2A2928"/>
                <w:sz w:val="24"/>
                <w:szCs w:val="24"/>
              </w:rPr>
              <w:t>1. </w:t>
            </w:r>
          </w:p>
        </w:tc>
        <w:tc>
          <w:tcPr>
            <w:tcW w:w="3327" w:type="pct"/>
            <w:gridSpan w:val="2"/>
            <w:shd w:val="clear" w:color="auto" w:fill="FFFFFF"/>
            <w:tcMar>
              <w:top w:w="0" w:type="dxa"/>
              <w:left w:w="0" w:type="dxa"/>
              <w:bottom w:w="0" w:type="dxa"/>
              <w:right w:w="0" w:type="dxa"/>
            </w:tcMar>
            <w:vAlign w:val="center"/>
          </w:tcPr>
          <w:p w14:paraId="3D050FD9">
            <w:pPr>
              <w:spacing w:line="360" w:lineRule="atLeast"/>
              <w:ind w:right="857"/>
              <w:rPr>
                <w:rFonts w:ascii="Arial" w:hAnsi="Arial" w:cs="Arial"/>
                <w:color w:val="2A2928"/>
              </w:rPr>
            </w:pPr>
          </w:p>
        </w:tc>
      </w:tr>
      <w:tr w14:paraId="1A198F37">
        <w:tblPrEx>
          <w:shd w:val="clear" w:color="auto" w:fill="FFFFFF"/>
          <w:tblCellMar>
            <w:top w:w="105" w:type="dxa"/>
            <w:left w:w="810" w:type="dxa"/>
            <w:bottom w:w="105" w:type="dxa"/>
            <w:right w:w="810" w:type="dxa"/>
          </w:tblCellMar>
        </w:tblPrEx>
        <w:trPr>
          <w:tblCellSpacing w:w="22" w:type="dxa"/>
          <w:jc w:val="center"/>
        </w:trPr>
        <w:tc>
          <w:tcPr>
            <w:tcW w:w="790" w:type="pct"/>
            <w:shd w:val="clear" w:color="auto" w:fill="FFFFFF"/>
            <w:tcMar>
              <w:top w:w="0" w:type="dxa"/>
              <w:left w:w="0" w:type="dxa"/>
              <w:bottom w:w="0" w:type="dxa"/>
              <w:right w:w="0" w:type="dxa"/>
            </w:tcMar>
            <w:vAlign w:val="center"/>
          </w:tcPr>
          <w:p w14:paraId="08FFE476">
            <w:pPr>
              <w:spacing w:line="360" w:lineRule="atLeast"/>
              <w:rPr>
                <w:rFonts w:ascii="Arial" w:hAnsi="Arial" w:cs="Arial"/>
                <w:color w:val="2A2928"/>
                <w:sz w:val="24"/>
                <w:szCs w:val="24"/>
              </w:rPr>
            </w:pPr>
            <w:r>
              <w:rPr>
                <w:rFonts w:ascii="Arial" w:hAnsi="Arial" w:cs="Arial"/>
                <w:color w:val="2A2928"/>
                <w:sz w:val="24"/>
                <w:szCs w:val="24"/>
              </w:rPr>
              <w:t>  </w:t>
            </w:r>
          </w:p>
        </w:tc>
        <w:tc>
          <w:tcPr>
            <w:tcW w:w="798" w:type="pct"/>
            <w:gridSpan w:val="2"/>
            <w:shd w:val="clear" w:color="auto" w:fill="FFFFFF"/>
            <w:tcMar>
              <w:top w:w="0" w:type="dxa"/>
              <w:left w:w="0" w:type="dxa"/>
              <w:bottom w:w="0" w:type="dxa"/>
              <w:right w:w="0" w:type="dxa"/>
            </w:tcMar>
            <w:vAlign w:val="center"/>
          </w:tcPr>
          <w:p w14:paraId="086FBBF4">
            <w:pPr>
              <w:spacing w:line="360" w:lineRule="atLeast"/>
              <w:ind w:right="857"/>
              <w:rPr>
                <w:rFonts w:ascii="Arial" w:hAnsi="Arial" w:cs="Arial"/>
                <w:color w:val="2A2928"/>
                <w:sz w:val="24"/>
                <w:szCs w:val="24"/>
              </w:rPr>
            </w:pPr>
            <w:r>
              <w:rPr>
                <w:rFonts w:ascii="Arial" w:hAnsi="Arial" w:cs="Arial"/>
                <w:color w:val="2A2928"/>
                <w:sz w:val="24"/>
                <w:szCs w:val="24"/>
              </w:rPr>
              <w:t>2. </w:t>
            </w:r>
          </w:p>
        </w:tc>
        <w:tc>
          <w:tcPr>
            <w:tcW w:w="3327" w:type="pct"/>
            <w:gridSpan w:val="2"/>
            <w:shd w:val="clear" w:color="auto" w:fill="FFFFFF"/>
            <w:tcMar>
              <w:top w:w="0" w:type="dxa"/>
              <w:left w:w="0" w:type="dxa"/>
              <w:bottom w:w="0" w:type="dxa"/>
              <w:right w:w="0" w:type="dxa"/>
            </w:tcMar>
            <w:vAlign w:val="center"/>
          </w:tcPr>
          <w:p w14:paraId="1F49F632">
            <w:pPr>
              <w:spacing w:line="360" w:lineRule="atLeast"/>
              <w:ind w:right="857"/>
              <w:rPr>
                <w:rFonts w:ascii="Arial" w:hAnsi="Arial" w:cs="Arial"/>
                <w:color w:val="2A2928"/>
              </w:rPr>
            </w:pPr>
          </w:p>
        </w:tc>
      </w:tr>
      <w:tr w14:paraId="107EAAB6">
        <w:tblPrEx>
          <w:tblCellMar>
            <w:top w:w="105" w:type="dxa"/>
            <w:left w:w="810" w:type="dxa"/>
            <w:bottom w:w="105" w:type="dxa"/>
            <w:right w:w="810" w:type="dxa"/>
          </w:tblCellMar>
        </w:tblPrEx>
        <w:trPr>
          <w:gridAfter w:val="1"/>
          <w:wAfter w:w="5" w:type="dxa"/>
          <w:tblCellSpacing w:w="22" w:type="dxa"/>
          <w:jc w:val="center"/>
        </w:trPr>
        <w:tc>
          <w:tcPr>
            <w:tcW w:w="790" w:type="pct"/>
            <w:shd w:val="clear" w:color="auto" w:fill="FFFFFF"/>
            <w:tcMar>
              <w:top w:w="0" w:type="dxa"/>
              <w:left w:w="0" w:type="dxa"/>
              <w:bottom w:w="0" w:type="dxa"/>
              <w:right w:w="0" w:type="dxa"/>
            </w:tcMar>
            <w:vAlign w:val="center"/>
          </w:tcPr>
          <w:p w14:paraId="18CC23FB">
            <w:pPr>
              <w:spacing w:line="360" w:lineRule="atLeast"/>
              <w:rPr>
                <w:rFonts w:ascii="Arial" w:hAnsi="Arial" w:cs="Arial"/>
                <w:color w:val="2A2928"/>
                <w:sz w:val="24"/>
                <w:szCs w:val="24"/>
              </w:rPr>
            </w:pPr>
            <w:r>
              <w:rPr>
                <w:rFonts w:ascii="Arial" w:hAnsi="Arial" w:cs="Arial"/>
                <w:color w:val="2A2928"/>
                <w:sz w:val="24"/>
                <w:szCs w:val="24"/>
              </w:rPr>
              <w:t>  </w:t>
            </w:r>
          </w:p>
        </w:tc>
        <w:tc>
          <w:tcPr>
            <w:tcW w:w="790" w:type="pct"/>
            <w:shd w:val="clear" w:color="auto" w:fill="FFFFFF"/>
            <w:tcMar>
              <w:top w:w="0" w:type="dxa"/>
              <w:left w:w="0" w:type="dxa"/>
              <w:bottom w:w="0" w:type="dxa"/>
              <w:right w:w="0" w:type="dxa"/>
            </w:tcMar>
            <w:vAlign w:val="center"/>
          </w:tcPr>
          <w:p w14:paraId="56C4B36F">
            <w:pPr>
              <w:spacing w:line="360" w:lineRule="atLeast"/>
              <w:rPr>
                <w:rFonts w:ascii="Arial" w:hAnsi="Arial" w:cs="Arial"/>
                <w:color w:val="2A2928"/>
                <w:sz w:val="24"/>
                <w:szCs w:val="24"/>
              </w:rPr>
            </w:pPr>
            <w:r>
              <w:rPr>
                <w:rFonts w:ascii="Arial" w:hAnsi="Arial" w:cs="Arial"/>
                <w:color w:val="2A2928"/>
                <w:sz w:val="24"/>
                <w:szCs w:val="24"/>
              </w:rPr>
              <w:t>3. </w:t>
            </w:r>
          </w:p>
        </w:tc>
        <w:tc>
          <w:tcPr>
            <w:tcW w:w="3338" w:type="pct"/>
            <w:gridSpan w:val="2"/>
            <w:shd w:val="clear" w:color="auto" w:fill="FFFFFF"/>
            <w:tcMar>
              <w:top w:w="0" w:type="dxa"/>
              <w:left w:w="0" w:type="dxa"/>
              <w:bottom w:w="0" w:type="dxa"/>
              <w:right w:w="0" w:type="dxa"/>
            </w:tcMar>
            <w:vAlign w:val="center"/>
          </w:tcPr>
          <w:p w14:paraId="1845DC48">
            <w:pPr>
              <w:spacing w:line="360" w:lineRule="atLeast"/>
              <w:rPr>
                <w:rFonts w:ascii="Arial" w:hAnsi="Arial" w:cs="Arial"/>
                <w:color w:val="2A2928"/>
                <w:lang w:val="uk-UA"/>
              </w:rPr>
            </w:pPr>
          </w:p>
        </w:tc>
      </w:tr>
      <w:tr w14:paraId="52D9D6E8">
        <w:tblPrEx>
          <w:shd w:val="clear" w:color="auto" w:fill="FFFFFF"/>
          <w:tblCellMar>
            <w:top w:w="105" w:type="dxa"/>
            <w:left w:w="810" w:type="dxa"/>
            <w:bottom w:w="105" w:type="dxa"/>
            <w:right w:w="810" w:type="dxa"/>
          </w:tblCellMar>
        </w:tblPrEx>
        <w:trPr>
          <w:gridAfter w:val="1"/>
          <w:wAfter w:w="5" w:type="dxa"/>
          <w:tblCellSpacing w:w="22" w:type="dxa"/>
          <w:jc w:val="center"/>
        </w:trPr>
        <w:tc>
          <w:tcPr>
            <w:tcW w:w="790" w:type="pct"/>
            <w:shd w:val="clear" w:color="auto" w:fill="FFFFFF"/>
            <w:tcMar>
              <w:top w:w="0" w:type="dxa"/>
              <w:left w:w="0" w:type="dxa"/>
              <w:bottom w:w="0" w:type="dxa"/>
              <w:right w:w="0" w:type="dxa"/>
            </w:tcMar>
            <w:vAlign w:val="center"/>
          </w:tcPr>
          <w:p w14:paraId="1357CAE7">
            <w:pPr>
              <w:spacing w:line="360" w:lineRule="atLeast"/>
              <w:rPr>
                <w:rFonts w:ascii="Arial" w:hAnsi="Arial" w:cs="Arial"/>
                <w:color w:val="2A2928"/>
                <w:sz w:val="24"/>
                <w:szCs w:val="24"/>
              </w:rPr>
            </w:pPr>
            <w:r>
              <w:rPr>
                <w:rFonts w:ascii="Arial" w:hAnsi="Arial" w:cs="Arial"/>
                <w:color w:val="2A2928"/>
                <w:sz w:val="24"/>
                <w:szCs w:val="24"/>
              </w:rPr>
              <w:t>Представник заявника </w:t>
            </w:r>
          </w:p>
        </w:tc>
        <w:tc>
          <w:tcPr>
            <w:tcW w:w="790" w:type="pct"/>
            <w:shd w:val="clear" w:color="auto" w:fill="FFFFFF"/>
            <w:tcMar>
              <w:top w:w="0" w:type="dxa"/>
              <w:left w:w="0" w:type="dxa"/>
              <w:bottom w:w="0" w:type="dxa"/>
              <w:right w:w="0" w:type="dxa"/>
            </w:tcMar>
            <w:vAlign w:val="center"/>
          </w:tcPr>
          <w:p w14:paraId="30E7F530">
            <w:pPr>
              <w:spacing w:line="360" w:lineRule="atLeast"/>
              <w:rPr>
                <w:rFonts w:ascii="Arial" w:hAnsi="Arial" w:cs="Arial"/>
                <w:color w:val="2A2928"/>
                <w:sz w:val="24"/>
                <w:szCs w:val="24"/>
              </w:rPr>
            </w:pPr>
            <w:r>
              <w:rPr>
                <w:rFonts w:ascii="Arial" w:hAnsi="Arial" w:cs="Arial"/>
                <w:color w:val="2A2928"/>
                <w:sz w:val="24"/>
                <w:szCs w:val="24"/>
              </w:rPr>
              <w:t>  </w:t>
            </w:r>
          </w:p>
        </w:tc>
        <w:tc>
          <w:tcPr>
            <w:tcW w:w="3338" w:type="pct"/>
            <w:gridSpan w:val="2"/>
            <w:shd w:val="clear" w:color="auto" w:fill="FFFFFF"/>
            <w:tcMar>
              <w:top w:w="0" w:type="dxa"/>
              <w:left w:w="0" w:type="dxa"/>
              <w:bottom w:w="0" w:type="dxa"/>
              <w:right w:w="0" w:type="dxa"/>
            </w:tcMar>
            <w:vAlign w:val="center"/>
          </w:tcPr>
          <w:p w14:paraId="00DEDCDB">
            <w:pPr>
              <w:spacing w:line="360" w:lineRule="atLeast"/>
              <w:rPr>
                <w:rFonts w:ascii="Arial" w:hAnsi="Arial" w:cs="Arial"/>
                <w:color w:val="2A2928"/>
              </w:rPr>
            </w:pPr>
            <w:r>
              <w:rPr>
                <w:rFonts w:ascii="Arial" w:hAnsi="Arial" w:cs="Arial"/>
                <w:color w:val="2A2928"/>
              </w:rPr>
              <w:t>__________________________________________________</w:t>
            </w:r>
            <w:r>
              <w:rPr>
                <w:rFonts w:ascii="Arial" w:hAnsi="Arial" w:cs="Arial"/>
                <w:color w:val="2A2928"/>
                <w:lang w:val="uk-UA"/>
              </w:rPr>
              <w:t>____</w:t>
            </w:r>
            <w:r>
              <w:rPr>
                <w:rFonts w:ascii="Arial" w:hAnsi="Arial" w:cs="Arial"/>
                <w:color w:val="2A2928"/>
              </w:rPr>
              <w:t>_</w:t>
            </w:r>
            <w:r>
              <w:rPr>
                <w:rFonts w:ascii="Arial" w:hAnsi="Arial" w:cs="Arial"/>
                <w:color w:val="2A2928"/>
              </w:rPr>
              <w:br w:type="textWrapping"/>
            </w:r>
            <w:r>
              <w:rPr>
                <w:rFonts w:ascii="Arial" w:hAnsi="Arial" w:cs="Arial"/>
                <w:color w:val="2A2928"/>
              </w:rPr>
              <w:t>(прізвище, ім'я, по батькові, посада) </w:t>
            </w:r>
          </w:p>
        </w:tc>
      </w:tr>
    </w:tbl>
    <w:p w14:paraId="1470F227">
      <w:pPr>
        <w:rPr>
          <w:vanish/>
          <w:sz w:val="24"/>
          <w:szCs w:val="24"/>
        </w:rPr>
      </w:pPr>
    </w:p>
    <w:tbl>
      <w:tblPr>
        <w:tblStyle w:val="3"/>
        <w:tblW w:w="10500" w:type="dxa"/>
        <w:jc w:val="center"/>
        <w:tblCellSpacing w:w="22" w:type="dxa"/>
        <w:shd w:val="clear" w:color="auto" w:fill="FFFFFF"/>
        <w:tblLayout w:type="autofit"/>
        <w:tblCellMar>
          <w:top w:w="105" w:type="dxa"/>
          <w:left w:w="810" w:type="dxa"/>
          <w:bottom w:w="105" w:type="dxa"/>
          <w:right w:w="810" w:type="dxa"/>
        </w:tblCellMar>
      </w:tblPr>
      <w:tblGrid>
        <w:gridCol w:w="10500"/>
      </w:tblGrid>
      <w:tr w14:paraId="7A16F65A">
        <w:tblPrEx>
          <w:shd w:val="clear" w:color="auto" w:fill="FFFFFF"/>
          <w:tblCellMar>
            <w:top w:w="105" w:type="dxa"/>
            <w:left w:w="810" w:type="dxa"/>
            <w:bottom w:w="105" w:type="dxa"/>
            <w:right w:w="810" w:type="dxa"/>
          </w:tblCellMar>
        </w:tblPrEx>
        <w:trPr>
          <w:trHeight w:val="3270" w:hRule="atLeast"/>
          <w:tblCellSpacing w:w="22" w:type="dxa"/>
          <w:jc w:val="center"/>
        </w:trPr>
        <w:tc>
          <w:tcPr>
            <w:tcW w:w="0" w:type="auto"/>
            <w:shd w:val="clear" w:color="auto" w:fill="FFFFFF"/>
            <w:tcMar>
              <w:top w:w="0" w:type="dxa"/>
              <w:left w:w="0" w:type="dxa"/>
              <w:bottom w:w="0" w:type="dxa"/>
              <w:right w:w="0" w:type="dxa"/>
            </w:tcMar>
            <w:vAlign w:val="center"/>
          </w:tcPr>
          <w:p w14:paraId="5D0C0A06">
            <w:pPr>
              <w:spacing w:line="360" w:lineRule="atLeast"/>
              <w:rPr>
                <w:rFonts w:ascii="Arial" w:hAnsi="Arial" w:cs="Arial"/>
                <w:color w:val="2A2928"/>
                <w:sz w:val="24"/>
                <w:szCs w:val="24"/>
                <w:lang w:val="uk-UA"/>
              </w:rPr>
            </w:pPr>
            <w:r>
              <w:rPr>
                <w:rFonts w:ascii="Arial" w:hAnsi="Arial" w:cs="Arial"/>
                <w:color w:val="2A2928"/>
                <w:sz w:val="24"/>
                <w:szCs w:val="24"/>
              </w:rPr>
              <w:t>Комісія оглянула зелені насадження за адресою ____________________________________________________________________________</w:t>
            </w:r>
          </w:p>
          <w:p w14:paraId="752124D3">
            <w:pPr>
              <w:spacing w:line="360" w:lineRule="atLeast"/>
              <w:rPr>
                <w:rFonts w:ascii="Arial" w:hAnsi="Arial" w:cs="Arial"/>
                <w:color w:val="2A2928"/>
                <w:lang w:val="uk-UA"/>
              </w:rPr>
            </w:pPr>
            <w:r>
              <w:rPr>
                <w:rFonts w:ascii="Arial" w:hAnsi="Arial" w:cs="Arial"/>
                <w:color w:val="2A2928"/>
                <w:sz w:val="24"/>
                <w:szCs w:val="24"/>
                <w:lang w:val="uk-UA"/>
              </w:rPr>
              <w:t>Обстеження зелених насаджень пов'язано з</w:t>
            </w:r>
            <w:r>
              <w:rPr>
                <w:rFonts w:ascii="Arial" w:hAnsi="Arial" w:cs="Arial"/>
                <w:color w:val="2A2928"/>
                <w:sz w:val="24"/>
                <w:szCs w:val="24"/>
                <w:lang w:val="uk-UA"/>
              </w:rPr>
              <w:br w:type="textWrapping"/>
            </w:r>
            <w:r>
              <w:rPr>
                <w:rFonts w:ascii="Arial" w:hAnsi="Arial" w:cs="Arial"/>
                <w:color w:val="2A2928"/>
                <w:sz w:val="24"/>
                <w:szCs w:val="24"/>
                <w:lang w:val="uk-UA"/>
              </w:rPr>
              <w:t>______________________________________________________________________________</w:t>
            </w:r>
            <w:r>
              <w:rPr>
                <w:rFonts w:ascii="Arial" w:hAnsi="Arial" w:cs="Arial"/>
                <w:color w:val="2A2928"/>
                <w:sz w:val="24"/>
                <w:szCs w:val="24"/>
                <w:lang w:val="uk-UA"/>
              </w:rPr>
              <w:br w:type="textWrapping"/>
            </w:r>
            <w:r>
              <w:rPr>
                <w:rFonts w:ascii="Arial" w:hAnsi="Arial" w:cs="Arial"/>
                <w:color w:val="2A2928"/>
                <w:lang w:val="uk-UA"/>
              </w:rPr>
              <w:t>(вказується причина обстеження зелених насаджень (відведення земельної ділянки, видалення зелених насаджень), якщо</w:t>
            </w:r>
            <w:r>
              <w:rPr>
                <w:rFonts w:ascii="Arial" w:hAnsi="Arial" w:cs="Arial"/>
                <w:color w:val="2A2928"/>
                <w:sz w:val="24"/>
                <w:szCs w:val="24"/>
                <w:lang w:val="uk-UA"/>
              </w:rPr>
              <w:t xml:space="preserve"> </w:t>
            </w:r>
            <w:r>
              <w:rPr>
                <w:rFonts w:ascii="Arial" w:hAnsi="Arial" w:cs="Arial"/>
                <w:color w:val="2A2928"/>
                <w:lang w:val="uk-UA"/>
              </w:rPr>
              <w:t>причиною є видалення зелених насаджень, вказується підстава для їх видалення)</w:t>
            </w:r>
            <w:r>
              <w:rPr>
                <w:rFonts w:ascii="Arial" w:hAnsi="Arial" w:cs="Arial"/>
                <w:color w:val="2A2928"/>
              </w:rPr>
              <w:t> </w:t>
            </w:r>
          </w:p>
          <w:p w14:paraId="250C60A7">
            <w:pPr>
              <w:spacing w:line="360" w:lineRule="atLeast"/>
              <w:rPr>
                <w:rFonts w:ascii="Arial" w:hAnsi="Arial" w:cs="Arial"/>
                <w:color w:val="2A2928"/>
                <w:sz w:val="24"/>
                <w:szCs w:val="24"/>
                <w:lang w:val="uk-UA"/>
              </w:rPr>
            </w:pPr>
            <w:r>
              <w:rPr>
                <w:rFonts w:ascii="Arial" w:hAnsi="Arial" w:cs="Arial"/>
                <w:color w:val="2A2928"/>
                <w:sz w:val="24"/>
                <w:szCs w:val="24"/>
                <w:lang w:val="uk-UA"/>
              </w:rPr>
              <w:t>______________________________________________________________________________</w:t>
            </w:r>
          </w:p>
          <w:p w14:paraId="78A24159">
            <w:pPr>
              <w:spacing w:line="360" w:lineRule="atLeast"/>
              <w:rPr>
                <w:rFonts w:ascii="Arial" w:hAnsi="Arial" w:cs="Arial"/>
                <w:color w:val="2A2928"/>
                <w:sz w:val="24"/>
                <w:szCs w:val="24"/>
                <w:lang w:val="uk-UA"/>
              </w:rPr>
            </w:pPr>
          </w:p>
        </w:tc>
      </w:tr>
    </w:tbl>
    <w:p w14:paraId="20EA7D31">
      <w:pPr>
        <w:shd w:val="clear" w:color="auto" w:fill="FFFFFF"/>
        <w:spacing w:line="360" w:lineRule="atLeast"/>
        <w:rPr>
          <w:rFonts w:ascii="Arial" w:hAnsi="Arial" w:cs="Arial"/>
          <w:color w:val="2A2928"/>
          <w:sz w:val="24"/>
          <w:szCs w:val="24"/>
        </w:rPr>
      </w:pPr>
      <w:r>
        <w:rPr>
          <w:rFonts w:ascii="Arial" w:hAnsi="Arial" w:cs="Arial"/>
          <w:color w:val="2A2928"/>
          <w:sz w:val="24"/>
          <w:szCs w:val="24"/>
        </w:rPr>
        <w:t>1. Зелені насадження, що підлягають видаленню:</w:t>
      </w:r>
    </w:p>
    <w:tbl>
      <w:tblPr>
        <w:tblStyle w:val="3"/>
        <w:tblW w:w="4716" w:type="pct"/>
        <w:jc w:val="center"/>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66"/>
        <w:gridCol w:w="1157"/>
        <w:gridCol w:w="773"/>
        <w:gridCol w:w="743"/>
        <w:gridCol w:w="556"/>
        <w:gridCol w:w="977"/>
        <w:gridCol w:w="1629"/>
        <w:gridCol w:w="1169"/>
        <w:gridCol w:w="1755"/>
      </w:tblGrid>
      <w:tr w14:paraId="76A2E0C4">
        <w:tblPrEx>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92"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E2C55E5">
            <w:pPr>
              <w:spacing w:line="360" w:lineRule="atLeast"/>
              <w:rPr>
                <w:sz w:val="24"/>
                <w:szCs w:val="24"/>
              </w:rPr>
            </w:pPr>
            <w:r>
              <w:rPr>
                <w:sz w:val="24"/>
                <w:szCs w:val="24"/>
              </w:rPr>
              <w:t>N з/п </w:t>
            </w:r>
          </w:p>
        </w:tc>
        <w:tc>
          <w:tcPr>
            <w:tcW w:w="60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5A29A842">
            <w:pPr>
              <w:spacing w:line="360" w:lineRule="atLeast"/>
              <w:rPr>
                <w:sz w:val="24"/>
                <w:szCs w:val="24"/>
              </w:rPr>
            </w:pPr>
            <w:r>
              <w:rPr>
                <w:sz w:val="24"/>
                <w:szCs w:val="24"/>
              </w:rPr>
              <w:t>Вид зелених насаджень </w:t>
            </w:r>
          </w:p>
        </w:tc>
        <w:tc>
          <w:tcPr>
            <w:tcW w:w="406"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03CEC7D">
            <w:pPr>
              <w:spacing w:line="360" w:lineRule="atLeast"/>
              <w:rPr>
                <w:sz w:val="24"/>
                <w:szCs w:val="24"/>
              </w:rPr>
            </w:pPr>
            <w:r>
              <w:rPr>
                <w:sz w:val="24"/>
                <w:szCs w:val="24"/>
              </w:rPr>
              <w:t>Вік</w:t>
            </w:r>
            <w:r>
              <w:rPr>
                <w:sz w:val="24"/>
                <w:szCs w:val="24"/>
              </w:rPr>
              <w:br w:type="textWrapping"/>
            </w:r>
            <w:r>
              <w:rPr>
                <w:sz w:val="24"/>
                <w:szCs w:val="24"/>
              </w:rPr>
              <w:t>(років) </w:t>
            </w:r>
          </w:p>
        </w:tc>
        <w:tc>
          <w:tcPr>
            <w:tcW w:w="39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7330B3C">
            <w:pPr>
              <w:spacing w:line="360" w:lineRule="atLeast"/>
              <w:rPr>
                <w:sz w:val="24"/>
                <w:szCs w:val="24"/>
              </w:rPr>
            </w:pPr>
            <w:r>
              <w:rPr>
                <w:sz w:val="24"/>
                <w:szCs w:val="24"/>
              </w:rPr>
              <w:t>Висота</w:t>
            </w:r>
            <w:r>
              <w:rPr>
                <w:sz w:val="24"/>
                <w:szCs w:val="24"/>
              </w:rPr>
              <w:br w:type="textWrapping"/>
            </w:r>
            <w:r>
              <w:rPr>
                <w:sz w:val="24"/>
                <w:szCs w:val="24"/>
              </w:rPr>
              <w:t>(м) </w:t>
            </w:r>
          </w:p>
        </w:tc>
        <w:tc>
          <w:tcPr>
            <w:tcW w:w="48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69A0B3E0">
            <w:pPr>
              <w:spacing w:line="360" w:lineRule="atLeast"/>
              <w:rPr>
                <w:sz w:val="24"/>
                <w:szCs w:val="24"/>
              </w:rPr>
            </w:pPr>
            <w:r>
              <w:rPr>
                <w:sz w:val="24"/>
                <w:szCs w:val="24"/>
              </w:rPr>
              <w:t>Діаметр стовбура на висоті 1,3 метра від землі</w:t>
            </w:r>
            <w:r>
              <w:rPr>
                <w:sz w:val="24"/>
                <w:szCs w:val="24"/>
              </w:rPr>
              <w:br w:type="textWrapping"/>
            </w:r>
            <w:r>
              <w:rPr>
                <w:sz w:val="24"/>
                <w:szCs w:val="24"/>
              </w:rPr>
              <w:t>(см) </w:t>
            </w:r>
          </w:p>
        </w:tc>
        <w:tc>
          <w:tcPr>
            <w:tcW w:w="514"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2B522E2B">
            <w:pPr>
              <w:spacing w:line="360" w:lineRule="atLeast"/>
              <w:rPr>
                <w:sz w:val="24"/>
                <w:szCs w:val="24"/>
              </w:rPr>
            </w:pPr>
            <w:r>
              <w:rPr>
                <w:sz w:val="24"/>
                <w:szCs w:val="24"/>
              </w:rPr>
              <w:t>Кількість</w:t>
            </w:r>
            <w:r>
              <w:rPr>
                <w:sz w:val="24"/>
                <w:szCs w:val="24"/>
              </w:rPr>
              <w:br w:type="textWrapping"/>
            </w:r>
            <w:r>
              <w:rPr>
                <w:sz w:val="24"/>
                <w:szCs w:val="24"/>
              </w:rPr>
              <w:t>(шт.) </w:t>
            </w:r>
          </w:p>
        </w:tc>
        <w:tc>
          <w:tcPr>
            <w:tcW w:w="860"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66E7AB59">
            <w:pPr>
              <w:spacing w:line="360" w:lineRule="atLeast"/>
              <w:rPr>
                <w:sz w:val="24"/>
                <w:szCs w:val="24"/>
              </w:rPr>
            </w:pPr>
            <w:r>
              <w:rPr>
                <w:sz w:val="24"/>
                <w:szCs w:val="24"/>
              </w:rPr>
              <w:t>Якісний стан зелених насаджень (</w:t>
            </w:r>
            <w:r>
              <w:fldChar w:fldCharType="begin"/>
            </w:r>
            <w:r>
              <w:instrText xml:space="preserve"> HYPERLINK "http://search.ligazakon.ua/l_doc2.nsf/link1/RE32432.html" \t "_top" </w:instrText>
            </w:r>
            <w:r>
              <w:fldChar w:fldCharType="separate"/>
            </w:r>
            <w:r>
              <w:rPr>
                <w:color w:val="008000"/>
                <w:sz w:val="24"/>
                <w:szCs w:val="24"/>
              </w:rPr>
              <w:t>добрий</w:t>
            </w:r>
            <w:r>
              <w:rPr>
                <w:color w:val="008000"/>
                <w:sz w:val="24"/>
                <w:szCs w:val="24"/>
              </w:rPr>
              <w:fldChar w:fldCharType="end"/>
            </w:r>
            <w:r>
              <w:rPr>
                <w:sz w:val="24"/>
                <w:szCs w:val="24"/>
              </w:rPr>
              <w:t>, задовільний, незадовільний) </w:t>
            </w:r>
          </w:p>
        </w:tc>
        <w:tc>
          <w:tcPr>
            <w:tcW w:w="615"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2C0DC6E8">
            <w:pPr>
              <w:spacing w:line="360" w:lineRule="atLeast"/>
              <w:rPr>
                <w:sz w:val="24"/>
                <w:szCs w:val="24"/>
              </w:rPr>
            </w:pPr>
            <w:r>
              <w:rPr>
                <w:sz w:val="24"/>
                <w:szCs w:val="24"/>
              </w:rPr>
              <w:t>Підлягає зрізуванню</w:t>
            </w:r>
            <w:r>
              <w:rPr>
                <w:sz w:val="24"/>
                <w:szCs w:val="24"/>
              </w:rPr>
              <w:br w:type="textWrapping"/>
            </w:r>
            <w:r>
              <w:rPr>
                <w:sz w:val="24"/>
                <w:szCs w:val="24"/>
              </w:rPr>
              <w:t>(шт.) </w:t>
            </w:r>
          </w:p>
        </w:tc>
        <w:tc>
          <w:tcPr>
            <w:tcW w:w="923"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72F0EBEC">
            <w:pPr>
              <w:spacing w:line="360" w:lineRule="atLeast"/>
              <w:rPr>
                <w:sz w:val="24"/>
                <w:szCs w:val="24"/>
              </w:rPr>
            </w:pPr>
            <w:r>
              <w:rPr>
                <w:sz w:val="24"/>
                <w:szCs w:val="24"/>
              </w:rPr>
              <w:t>Підлягає пересаджуванню</w:t>
            </w:r>
            <w:r>
              <w:rPr>
                <w:sz w:val="24"/>
                <w:szCs w:val="24"/>
              </w:rPr>
              <w:br w:type="textWrapping"/>
            </w:r>
            <w:r>
              <w:rPr>
                <w:sz w:val="24"/>
                <w:szCs w:val="24"/>
              </w:rPr>
              <w:t>(шт.) </w:t>
            </w:r>
          </w:p>
        </w:tc>
      </w:tr>
      <w:tr w14:paraId="3379313B">
        <w:tblPrEx>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92"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237B321">
            <w:pPr>
              <w:spacing w:line="360" w:lineRule="atLeast"/>
              <w:rPr>
                <w:sz w:val="24"/>
                <w:szCs w:val="24"/>
              </w:rPr>
            </w:pPr>
            <w:r>
              <w:rPr>
                <w:sz w:val="24"/>
                <w:szCs w:val="24"/>
              </w:rPr>
              <w:t>1 </w:t>
            </w:r>
          </w:p>
        </w:tc>
        <w:tc>
          <w:tcPr>
            <w:tcW w:w="60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2267F343">
            <w:pPr>
              <w:spacing w:line="360" w:lineRule="atLeast"/>
              <w:rPr>
                <w:sz w:val="24"/>
                <w:szCs w:val="24"/>
              </w:rPr>
            </w:pPr>
            <w:r>
              <w:rPr>
                <w:sz w:val="24"/>
                <w:szCs w:val="24"/>
              </w:rPr>
              <w:t>  </w:t>
            </w:r>
          </w:p>
        </w:tc>
        <w:tc>
          <w:tcPr>
            <w:tcW w:w="406"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DC73F43">
            <w:pPr>
              <w:spacing w:line="360" w:lineRule="atLeast"/>
              <w:rPr>
                <w:sz w:val="24"/>
                <w:szCs w:val="24"/>
              </w:rPr>
            </w:pPr>
            <w:r>
              <w:rPr>
                <w:sz w:val="24"/>
                <w:szCs w:val="24"/>
              </w:rPr>
              <w:t>  </w:t>
            </w:r>
          </w:p>
        </w:tc>
        <w:tc>
          <w:tcPr>
            <w:tcW w:w="39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C2B3DCC">
            <w:pPr>
              <w:spacing w:line="360" w:lineRule="atLeast"/>
              <w:rPr>
                <w:sz w:val="24"/>
                <w:szCs w:val="24"/>
              </w:rPr>
            </w:pPr>
            <w:r>
              <w:rPr>
                <w:sz w:val="24"/>
                <w:szCs w:val="24"/>
              </w:rPr>
              <w:t>  </w:t>
            </w:r>
          </w:p>
        </w:tc>
        <w:tc>
          <w:tcPr>
            <w:tcW w:w="48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30AA0A8">
            <w:pPr>
              <w:spacing w:line="360" w:lineRule="atLeast"/>
              <w:rPr>
                <w:sz w:val="24"/>
                <w:szCs w:val="24"/>
              </w:rPr>
            </w:pPr>
            <w:r>
              <w:rPr>
                <w:sz w:val="24"/>
                <w:szCs w:val="24"/>
              </w:rPr>
              <w:t>  </w:t>
            </w:r>
          </w:p>
        </w:tc>
        <w:tc>
          <w:tcPr>
            <w:tcW w:w="514"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CBE5194">
            <w:pPr>
              <w:spacing w:line="360" w:lineRule="atLeast"/>
              <w:rPr>
                <w:sz w:val="24"/>
                <w:szCs w:val="24"/>
              </w:rPr>
            </w:pPr>
            <w:r>
              <w:rPr>
                <w:sz w:val="24"/>
                <w:szCs w:val="24"/>
              </w:rPr>
              <w:t>  </w:t>
            </w:r>
          </w:p>
        </w:tc>
        <w:tc>
          <w:tcPr>
            <w:tcW w:w="860"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7CCFB69D">
            <w:pPr>
              <w:spacing w:line="360" w:lineRule="atLeast"/>
              <w:rPr>
                <w:sz w:val="24"/>
                <w:szCs w:val="24"/>
              </w:rPr>
            </w:pPr>
            <w:r>
              <w:rPr>
                <w:sz w:val="24"/>
                <w:szCs w:val="24"/>
              </w:rPr>
              <w:t>  </w:t>
            </w:r>
          </w:p>
        </w:tc>
        <w:tc>
          <w:tcPr>
            <w:tcW w:w="615"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5039D8A8">
            <w:pPr>
              <w:spacing w:line="360" w:lineRule="atLeast"/>
              <w:rPr>
                <w:sz w:val="24"/>
                <w:szCs w:val="24"/>
              </w:rPr>
            </w:pPr>
            <w:r>
              <w:rPr>
                <w:sz w:val="24"/>
                <w:szCs w:val="24"/>
              </w:rPr>
              <w:t>  </w:t>
            </w:r>
          </w:p>
        </w:tc>
        <w:tc>
          <w:tcPr>
            <w:tcW w:w="923"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61B8043A">
            <w:pPr>
              <w:spacing w:line="360" w:lineRule="atLeast"/>
              <w:rPr>
                <w:sz w:val="24"/>
                <w:szCs w:val="24"/>
              </w:rPr>
            </w:pPr>
            <w:r>
              <w:rPr>
                <w:sz w:val="24"/>
                <w:szCs w:val="24"/>
              </w:rPr>
              <w:t>  </w:t>
            </w:r>
          </w:p>
        </w:tc>
      </w:tr>
      <w:tr w14:paraId="4DBC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810" w:type="dxa"/>
            <w:bottom w:w="105" w:type="dxa"/>
            <w:right w:w="810" w:type="dxa"/>
          </w:tblCellMar>
        </w:tblPrEx>
        <w:trPr>
          <w:tblCellSpacing w:w="22" w:type="dxa"/>
          <w:jc w:val="center"/>
        </w:trPr>
        <w:tc>
          <w:tcPr>
            <w:tcW w:w="2087" w:type="pct"/>
            <w:gridSpan w:val="5"/>
            <w:shd w:val="clear" w:color="auto" w:fill="FFFFFF"/>
            <w:tcMar>
              <w:top w:w="0" w:type="dxa"/>
              <w:left w:w="0" w:type="dxa"/>
              <w:bottom w:w="0" w:type="dxa"/>
              <w:right w:w="0" w:type="dxa"/>
            </w:tcMar>
            <w:vAlign w:val="center"/>
          </w:tcPr>
          <w:p w14:paraId="47B0425A">
            <w:pPr>
              <w:spacing w:line="360" w:lineRule="atLeast"/>
              <w:rPr>
                <w:rFonts w:ascii="Arial" w:hAnsi="Arial" w:cs="Arial"/>
                <w:color w:val="2A2928"/>
                <w:sz w:val="24"/>
                <w:szCs w:val="24"/>
                <w:lang w:val="uk-UA"/>
              </w:rPr>
            </w:pPr>
          </w:p>
          <w:p w14:paraId="2F4286FA">
            <w:pPr>
              <w:spacing w:line="360" w:lineRule="atLeast"/>
              <w:rPr>
                <w:rFonts w:ascii="Arial" w:hAnsi="Arial" w:cs="Arial"/>
                <w:color w:val="2A2928"/>
                <w:sz w:val="24"/>
                <w:szCs w:val="24"/>
              </w:rPr>
            </w:pPr>
            <w:r>
              <w:rPr>
                <w:rFonts w:ascii="Arial" w:hAnsi="Arial" w:cs="Arial"/>
                <w:color w:val="2A2928"/>
                <w:sz w:val="24"/>
                <w:szCs w:val="24"/>
              </w:rPr>
              <w:t>Разом підлягає пересаджуванню </w:t>
            </w:r>
          </w:p>
        </w:tc>
        <w:tc>
          <w:tcPr>
            <w:tcW w:w="1375" w:type="pct"/>
            <w:gridSpan w:val="2"/>
            <w:shd w:val="clear" w:color="auto" w:fill="FFFFFF"/>
            <w:tcMar>
              <w:top w:w="0" w:type="dxa"/>
              <w:left w:w="0" w:type="dxa"/>
              <w:bottom w:w="0" w:type="dxa"/>
              <w:right w:w="0" w:type="dxa"/>
            </w:tcMar>
            <w:vAlign w:val="center"/>
          </w:tcPr>
          <w:p w14:paraId="56882772">
            <w:pPr>
              <w:spacing w:line="360" w:lineRule="atLeast"/>
              <w:rPr>
                <w:rFonts w:ascii="Arial" w:hAnsi="Arial" w:cs="Arial"/>
                <w:color w:val="2A2928"/>
                <w:sz w:val="24"/>
                <w:szCs w:val="24"/>
                <w:lang w:val="uk-UA"/>
              </w:rPr>
            </w:pPr>
          </w:p>
          <w:p w14:paraId="1F0B3512">
            <w:pPr>
              <w:spacing w:line="360" w:lineRule="atLeast"/>
              <w:rPr>
                <w:rFonts w:ascii="Arial" w:hAnsi="Arial" w:cs="Arial"/>
                <w:color w:val="2A2928"/>
                <w:sz w:val="24"/>
                <w:szCs w:val="24"/>
              </w:rPr>
            </w:pPr>
            <w:r>
              <w:rPr>
                <w:rFonts w:ascii="Arial" w:hAnsi="Arial" w:cs="Arial"/>
                <w:color w:val="2A2928"/>
                <w:sz w:val="24"/>
                <w:szCs w:val="24"/>
              </w:rPr>
              <w:t>_____________</w:t>
            </w:r>
            <w:r>
              <w:t xml:space="preserve"> </w:t>
            </w:r>
            <w:r>
              <w:rPr>
                <w:rFonts w:ascii="Arial" w:hAnsi="Arial" w:cs="Arial"/>
                <w:color w:val="2A2928"/>
                <w:sz w:val="24"/>
                <w:szCs w:val="24"/>
              </w:rPr>
              <w:t>дерев </w:t>
            </w:r>
          </w:p>
        </w:tc>
        <w:tc>
          <w:tcPr>
            <w:tcW w:w="615" w:type="pct"/>
            <w:shd w:val="clear" w:color="auto" w:fill="FFFFFF"/>
            <w:tcMar>
              <w:top w:w="0" w:type="dxa"/>
              <w:left w:w="0" w:type="dxa"/>
              <w:bottom w:w="0" w:type="dxa"/>
              <w:right w:w="0" w:type="dxa"/>
            </w:tcMar>
            <w:vAlign w:val="center"/>
          </w:tcPr>
          <w:p w14:paraId="51771B61">
            <w:pPr>
              <w:spacing w:line="360" w:lineRule="atLeast"/>
              <w:rPr>
                <w:rFonts w:ascii="Arial" w:hAnsi="Arial" w:cs="Arial"/>
                <w:color w:val="2A2928"/>
                <w:sz w:val="24"/>
                <w:szCs w:val="24"/>
                <w:lang w:val="uk-UA"/>
              </w:rPr>
            </w:pPr>
          </w:p>
          <w:p w14:paraId="60B411FD">
            <w:pPr>
              <w:spacing w:line="360" w:lineRule="atLeast"/>
              <w:rPr>
                <w:rFonts w:ascii="Arial" w:hAnsi="Arial" w:cs="Arial"/>
                <w:color w:val="2A2928"/>
                <w:sz w:val="24"/>
                <w:szCs w:val="24"/>
                <w:lang w:val="uk-UA"/>
              </w:rPr>
            </w:pPr>
            <w:r>
              <w:rPr>
                <w:rFonts w:ascii="Arial" w:hAnsi="Arial" w:cs="Arial"/>
                <w:color w:val="2A2928"/>
                <w:sz w:val="24"/>
                <w:szCs w:val="24"/>
              </w:rPr>
              <w:t> _______</w:t>
            </w:r>
          </w:p>
        </w:tc>
        <w:tc>
          <w:tcPr>
            <w:tcW w:w="923" w:type="pct"/>
            <w:shd w:val="clear" w:color="auto" w:fill="FFFFFF"/>
            <w:tcMar>
              <w:top w:w="0" w:type="dxa"/>
              <w:left w:w="0" w:type="dxa"/>
              <w:bottom w:w="0" w:type="dxa"/>
              <w:right w:w="0" w:type="dxa"/>
            </w:tcMar>
            <w:vAlign w:val="center"/>
          </w:tcPr>
          <w:p w14:paraId="0504D948">
            <w:pPr>
              <w:spacing w:line="360" w:lineRule="atLeast"/>
              <w:rPr>
                <w:rFonts w:ascii="Arial" w:hAnsi="Arial" w:cs="Arial"/>
                <w:color w:val="2A2928"/>
                <w:sz w:val="24"/>
                <w:szCs w:val="24"/>
                <w:lang w:val="uk-UA"/>
              </w:rPr>
            </w:pPr>
          </w:p>
          <w:p w14:paraId="3FFD98FA">
            <w:pPr>
              <w:spacing w:line="360" w:lineRule="atLeast"/>
              <w:rPr>
                <w:rFonts w:ascii="Arial" w:hAnsi="Arial" w:cs="Arial"/>
                <w:color w:val="2A2928"/>
                <w:sz w:val="24"/>
                <w:szCs w:val="24"/>
                <w:lang w:val="uk-UA"/>
              </w:rPr>
            </w:pPr>
            <w:r>
              <w:rPr>
                <w:rFonts w:ascii="Arial" w:hAnsi="Arial" w:cs="Arial"/>
                <w:color w:val="2A2928"/>
                <w:sz w:val="24"/>
                <w:szCs w:val="24"/>
                <w:lang w:val="uk-UA"/>
              </w:rPr>
              <w:t>кущів</w:t>
            </w:r>
          </w:p>
        </w:tc>
      </w:tr>
      <w:tr w14:paraId="6B49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810" w:type="dxa"/>
            <w:bottom w:w="105" w:type="dxa"/>
            <w:right w:w="810" w:type="dxa"/>
          </w:tblCellMar>
        </w:tblPrEx>
        <w:trPr>
          <w:tblCellSpacing w:w="22" w:type="dxa"/>
          <w:jc w:val="center"/>
        </w:trPr>
        <w:tc>
          <w:tcPr>
            <w:tcW w:w="2087" w:type="pct"/>
            <w:gridSpan w:val="5"/>
            <w:shd w:val="clear" w:color="auto" w:fill="FFFFFF"/>
            <w:tcMar>
              <w:top w:w="0" w:type="dxa"/>
              <w:left w:w="0" w:type="dxa"/>
              <w:bottom w:w="0" w:type="dxa"/>
              <w:right w:w="0" w:type="dxa"/>
            </w:tcMar>
            <w:vAlign w:val="center"/>
          </w:tcPr>
          <w:p w14:paraId="1176A874">
            <w:pPr>
              <w:spacing w:line="360" w:lineRule="atLeast"/>
              <w:rPr>
                <w:rFonts w:ascii="Arial" w:hAnsi="Arial" w:cs="Arial"/>
                <w:color w:val="2A2928"/>
                <w:sz w:val="24"/>
                <w:szCs w:val="24"/>
              </w:rPr>
            </w:pPr>
            <w:r>
              <w:rPr>
                <w:rFonts w:ascii="Arial" w:hAnsi="Arial" w:cs="Arial"/>
                <w:color w:val="2A2928"/>
                <w:sz w:val="24"/>
                <w:szCs w:val="24"/>
              </w:rPr>
              <w:t>Разом підлягає зрізуванню </w:t>
            </w:r>
          </w:p>
        </w:tc>
        <w:tc>
          <w:tcPr>
            <w:tcW w:w="1375" w:type="pct"/>
            <w:gridSpan w:val="2"/>
            <w:shd w:val="clear" w:color="auto" w:fill="FFFFFF"/>
            <w:tcMar>
              <w:top w:w="0" w:type="dxa"/>
              <w:left w:w="0" w:type="dxa"/>
              <w:bottom w:w="0" w:type="dxa"/>
              <w:right w:w="0" w:type="dxa"/>
            </w:tcMar>
            <w:vAlign w:val="center"/>
          </w:tcPr>
          <w:p w14:paraId="701596F6">
            <w:pPr>
              <w:spacing w:line="360" w:lineRule="atLeast"/>
              <w:rPr>
                <w:rFonts w:ascii="Arial" w:hAnsi="Arial" w:cs="Arial"/>
                <w:color w:val="2A2928"/>
                <w:sz w:val="24"/>
                <w:szCs w:val="24"/>
              </w:rPr>
            </w:pPr>
            <w:r>
              <w:rPr>
                <w:rFonts w:ascii="Arial" w:hAnsi="Arial" w:cs="Arial"/>
                <w:color w:val="2A2928"/>
                <w:sz w:val="24"/>
                <w:szCs w:val="24"/>
              </w:rPr>
              <w:t>_____________ дерев</w:t>
            </w:r>
          </w:p>
        </w:tc>
        <w:tc>
          <w:tcPr>
            <w:tcW w:w="615" w:type="pct"/>
            <w:shd w:val="clear" w:color="auto" w:fill="FFFFFF"/>
            <w:tcMar>
              <w:top w:w="0" w:type="dxa"/>
              <w:left w:w="0" w:type="dxa"/>
              <w:bottom w:w="0" w:type="dxa"/>
              <w:right w:w="0" w:type="dxa"/>
            </w:tcMar>
            <w:vAlign w:val="center"/>
          </w:tcPr>
          <w:p w14:paraId="192A90CB">
            <w:pPr>
              <w:spacing w:line="360" w:lineRule="atLeast"/>
              <w:rPr>
                <w:rFonts w:ascii="Arial" w:hAnsi="Arial" w:cs="Arial"/>
                <w:color w:val="2A2928"/>
                <w:sz w:val="24"/>
                <w:szCs w:val="24"/>
                <w:lang w:val="uk-UA"/>
              </w:rPr>
            </w:pPr>
            <w:r>
              <w:rPr>
                <w:rFonts w:ascii="Arial" w:hAnsi="Arial" w:cs="Arial"/>
                <w:color w:val="2A2928"/>
                <w:sz w:val="24"/>
                <w:szCs w:val="24"/>
              </w:rPr>
              <w:t>________</w:t>
            </w:r>
          </w:p>
        </w:tc>
        <w:tc>
          <w:tcPr>
            <w:tcW w:w="923" w:type="pct"/>
            <w:shd w:val="clear" w:color="auto" w:fill="FFFFFF"/>
            <w:tcMar>
              <w:top w:w="0" w:type="dxa"/>
              <w:left w:w="0" w:type="dxa"/>
              <w:bottom w:w="0" w:type="dxa"/>
              <w:right w:w="0" w:type="dxa"/>
            </w:tcMar>
            <w:vAlign w:val="center"/>
          </w:tcPr>
          <w:p w14:paraId="66A9D889">
            <w:pPr>
              <w:spacing w:line="360" w:lineRule="atLeast"/>
              <w:rPr>
                <w:rFonts w:ascii="Arial" w:hAnsi="Arial" w:cs="Arial"/>
                <w:color w:val="2A2928"/>
                <w:sz w:val="24"/>
                <w:szCs w:val="24"/>
                <w:lang w:val="uk-UA"/>
              </w:rPr>
            </w:pPr>
            <w:r>
              <w:rPr>
                <w:rFonts w:ascii="Arial" w:hAnsi="Arial" w:cs="Arial"/>
                <w:color w:val="2A2928"/>
                <w:sz w:val="24"/>
                <w:szCs w:val="24"/>
                <w:lang w:val="uk-UA"/>
              </w:rPr>
              <w:t>кущів</w:t>
            </w:r>
          </w:p>
        </w:tc>
      </w:tr>
    </w:tbl>
    <w:p w14:paraId="7C2AA02E">
      <w:pPr>
        <w:rPr>
          <w:vanish/>
          <w:sz w:val="24"/>
          <w:szCs w:val="24"/>
        </w:rPr>
      </w:pPr>
    </w:p>
    <w:tbl>
      <w:tblPr>
        <w:tblStyle w:val="3"/>
        <w:tblW w:w="10500" w:type="dxa"/>
        <w:jc w:val="center"/>
        <w:tblCellSpacing w:w="22" w:type="dxa"/>
        <w:shd w:val="clear" w:color="auto" w:fill="FFFFFF"/>
        <w:tblLayout w:type="autofit"/>
        <w:tblCellMar>
          <w:top w:w="105" w:type="dxa"/>
          <w:left w:w="810" w:type="dxa"/>
          <w:bottom w:w="105" w:type="dxa"/>
          <w:right w:w="810" w:type="dxa"/>
        </w:tblCellMar>
      </w:tblPr>
      <w:tblGrid>
        <w:gridCol w:w="3073"/>
        <w:gridCol w:w="7427"/>
      </w:tblGrid>
      <w:tr w14:paraId="32E77E01">
        <w:tblPrEx>
          <w:shd w:val="clear" w:color="auto" w:fill="FFFFFF"/>
        </w:tblPrEx>
        <w:trPr>
          <w:tblCellSpacing w:w="22" w:type="dxa"/>
          <w:jc w:val="center"/>
        </w:trPr>
        <w:tc>
          <w:tcPr>
            <w:tcW w:w="1450" w:type="pct"/>
            <w:shd w:val="clear" w:color="auto" w:fill="FFFFFF"/>
            <w:tcMar>
              <w:top w:w="0" w:type="dxa"/>
              <w:left w:w="0" w:type="dxa"/>
              <w:bottom w:w="0" w:type="dxa"/>
              <w:right w:w="0" w:type="dxa"/>
            </w:tcMar>
            <w:vAlign w:val="center"/>
          </w:tcPr>
          <w:p w14:paraId="24C24CC0">
            <w:pPr>
              <w:spacing w:line="360" w:lineRule="atLeast"/>
              <w:rPr>
                <w:rFonts w:ascii="Arial" w:hAnsi="Arial" w:cs="Arial"/>
                <w:color w:val="2A2928"/>
                <w:sz w:val="24"/>
                <w:szCs w:val="24"/>
              </w:rPr>
            </w:pPr>
            <w:r>
              <w:rPr>
                <w:rFonts w:ascii="Arial" w:hAnsi="Arial" w:cs="Arial"/>
                <w:color w:val="2A2928"/>
                <w:sz w:val="24"/>
                <w:szCs w:val="24"/>
              </w:rPr>
              <w:t>Всього видаляється: </w:t>
            </w:r>
          </w:p>
        </w:tc>
        <w:tc>
          <w:tcPr>
            <w:tcW w:w="3550" w:type="pct"/>
            <w:shd w:val="clear" w:color="auto" w:fill="FFFFFF"/>
            <w:tcMar>
              <w:top w:w="0" w:type="dxa"/>
              <w:left w:w="0" w:type="dxa"/>
              <w:bottom w:w="0" w:type="dxa"/>
              <w:right w:w="0" w:type="dxa"/>
            </w:tcMar>
            <w:vAlign w:val="center"/>
          </w:tcPr>
          <w:p w14:paraId="23B87CDD">
            <w:pPr>
              <w:spacing w:line="360" w:lineRule="atLeast"/>
              <w:rPr>
                <w:rFonts w:ascii="Arial" w:hAnsi="Arial" w:cs="Arial"/>
                <w:color w:val="2A2928"/>
                <w:sz w:val="24"/>
                <w:szCs w:val="24"/>
              </w:rPr>
            </w:pPr>
            <w:r>
              <w:rPr>
                <w:rFonts w:ascii="Arial" w:hAnsi="Arial" w:cs="Arial"/>
                <w:color w:val="2A2928"/>
                <w:sz w:val="24"/>
                <w:szCs w:val="24"/>
              </w:rPr>
              <w:t>  </w:t>
            </w:r>
          </w:p>
        </w:tc>
      </w:tr>
      <w:tr w14:paraId="536F5AA6">
        <w:tblPrEx>
          <w:shd w:val="clear" w:color="auto" w:fill="FFFFFF"/>
          <w:tblCellMar>
            <w:top w:w="105" w:type="dxa"/>
            <w:left w:w="810" w:type="dxa"/>
            <w:bottom w:w="105" w:type="dxa"/>
            <w:right w:w="810" w:type="dxa"/>
          </w:tblCellMar>
        </w:tblPrEx>
        <w:trPr>
          <w:tblCellSpacing w:w="22" w:type="dxa"/>
          <w:jc w:val="center"/>
        </w:trPr>
        <w:tc>
          <w:tcPr>
            <w:tcW w:w="1450" w:type="pct"/>
            <w:shd w:val="clear" w:color="auto" w:fill="FFFFFF"/>
            <w:tcMar>
              <w:top w:w="0" w:type="dxa"/>
              <w:left w:w="0" w:type="dxa"/>
              <w:bottom w:w="0" w:type="dxa"/>
              <w:right w:w="0" w:type="dxa"/>
            </w:tcMar>
            <w:vAlign w:val="center"/>
          </w:tcPr>
          <w:p w14:paraId="7A91780C">
            <w:pPr>
              <w:spacing w:line="360" w:lineRule="atLeast"/>
              <w:rPr>
                <w:rFonts w:ascii="Arial" w:hAnsi="Arial" w:cs="Arial"/>
                <w:color w:val="2A2928"/>
                <w:sz w:val="24"/>
                <w:szCs w:val="24"/>
              </w:rPr>
            </w:pPr>
            <w:r>
              <w:rPr>
                <w:rFonts w:ascii="Arial" w:hAnsi="Arial" w:cs="Arial"/>
                <w:color w:val="2A2928"/>
                <w:sz w:val="24"/>
                <w:szCs w:val="24"/>
              </w:rPr>
              <w:t>1. Дерев </w:t>
            </w:r>
          </w:p>
        </w:tc>
        <w:tc>
          <w:tcPr>
            <w:tcW w:w="3550" w:type="pct"/>
            <w:shd w:val="clear" w:color="auto" w:fill="FFFFFF"/>
            <w:tcMar>
              <w:top w:w="0" w:type="dxa"/>
              <w:left w:w="0" w:type="dxa"/>
              <w:bottom w:w="0" w:type="dxa"/>
              <w:right w:w="0" w:type="dxa"/>
            </w:tcMar>
            <w:vAlign w:val="center"/>
          </w:tcPr>
          <w:p w14:paraId="6DBBC26E">
            <w:pPr>
              <w:spacing w:line="360" w:lineRule="atLeast"/>
              <w:rPr>
                <w:rFonts w:ascii="Arial" w:hAnsi="Arial" w:cs="Arial"/>
                <w:color w:val="2A2928"/>
                <w:sz w:val="24"/>
                <w:szCs w:val="24"/>
              </w:rPr>
            </w:pPr>
            <w:r>
              <w:rPr>
                <w:rFonts w:ascii="Arial" w:hAnsi="Arial" w:cs="Arial"/>
                <w:color w:val="2A2928"/>
                <w:sz w:val="24"/>
                <w:szCs w:val="24"/>
              </w:rPr>
              <w:t>_________________________________________</w:t>
            </w:r>
            <w:r>
              <w:rPr>
                <w:rFonts w:ascii="Arial" w:hAnsi="Arial" w:cs="Arial"/>
                <w:color w:val="2A2928"/>
                <w:sz w:val="24"/>
                <w:szCs w:val="24"/>
                <w:u w:val="single"/>
              </w:rPr>
              <w:t>одиниць</w:t>
            </w:r>
            <w:r>
              <w:rPr>
                <w:rFonts w:ascii="Arial" w:hAnsi="Arial" w:cs="Arial"/>
                <w:color w:val="2A2928"/>
                <w:sz w:val="24"/>
                <w:szCs w:val="24"/>
              </w:rPr>
              <w:t> </w:t>
            </w:r>
          </w:p>
        </w:tc>
      </w:tr>
      <w:tr w14:paraId="591A90FE">
        <w:tblPrEx>
          <w:shd w:val="clear" w:color="auto" w:fill="FFFFFF"/>
          <w:tblCellMar>
            <w:top w:w="105" w:type="dxa"/>
            <w:left w:w="810" w:type="dxa"/>
            <w:bottom w:w="105" w:type="dxa"/>
            <w:right w:w="810" w:type="dxa"/>
          </w:tblCellMar>
        </w:tblPrEx>
        <w:trPr>
          <w:tblCellSpacing w:w="22" w:type="dxa"/>
          <w:jc w:val="center"/>
        </w:trPr>
        <w:tc>
          <w:tcPr>
            <w:tcW w:w="1450" w:type="pct"/>
            <w:shd w:val="clear" w:color="auto" w:fill="FFFFFF"/>
            <w:tcMar>
              <w:top w:w="0" w:type="dxa"/>
              <w:left w:w="0" w:type="dxa"/>
              <w:bottom w:w="0" w:type="dxa"/>
              <w:right w:w="0" w:type="dxa"/>
            </w:tcMar>
            <w:vAlign w:val="center"/>
          </w:tcPr>
          <w:p w14:paraId="56F31267">
            <w:pPr>
              <w:spacing w:line="360" w:lineRule="atLeast"/>
              <w:rPr>
                <w:rFonts w:ascii="Arial" w:hAnsi="Arial" w:cs="Arial"/>
                <w:color w:val="2A2928"/>
                <w:sz w:val="24"/>
                <w:szCs w:val="24"/>
              </w:rPr>
            </w:pPr>
            <w:r>
              <w:rPr>
                <w:rFonts w:ascii="Arial" w:hAnsi="Arial" w:cs="Arial"/>
                <w:color w:val="2A2928"/>
                <w:sz w:val="24"/>
                <w:szCs w:val="24"/>
              </w:rPr>
              <w:t>2. Кущів </w:t>
            </w:r>
          </w:p>
        </w:tc>
        <w:tc>
          <w:tcPr>
            <w:tcW w:w="3550" w:type="pct"/>
            <w:shd w:val="clear" w:color="auto" w:fill="FFFFFF"/>
            <w:tcMar>
              <w:top w:w="0" w:type="dxa"/>
              <w:left w:w="0" w:type="dxa"/>
              <w:bottom w:w="0" w:type="dxa"/>
              <w:right w:w="0" w:type="dxa"/>
            </w:tcMar>
            <w:vAlign w:val="center"/>
          </w:tcPr>
          <w:p w14:paraId="61547363">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__________________________________________одиниць</w:t>
            </w:r>
            <w:r>
              <w:rPr>
                <w:rFonts w:ascii="Arial" w:hAnsi="Arial" w:cs="Arial"/>
                <w:color w:val="2A2928"/>
                <w:sz w:val="24"/>
                <w:szCs w:val="24"/>
              </w:rPr>
              <w:t> </w:t>
            </w:r>
          </w:p>
        </w:tc>
      </w:tr>
      <w:tr w14:paraId="61CC597B">
        <w:tblPrEx>
          <w:shd w:val="clear" w:color="auto" w:fill="FFFFFF"/>
          <w:tblCellMar>
            <w:top w:w="105" w:type="dxa"/>
            <w:left w:w="810" w:type="dxa"/>
            <w:bottom w:w="105" w:type="dxa"/>
            <w:right w:w="810" w:type="dxa"/>
          </w:tblCellMar>
        </w:tblPrEx>
        <w:trPr>
          <w:tblCellSpacing w:w="22" w:type="dxa"/>
          <w:jc w:val="center"/>
        </w:trPr>
        <w:tc>
          <w:tcPr>
            <w:tcW w:w="1450" w:type="pct"/>
            <w:shd w:val="clear" w:color="auto" w:fill="FFFFFF"/>
            <w:tcMar>
              <w:top w:w="0" w:type="dxa"/>
              <w:left w:w="0" w:type="dxa"/>
              <w:bottom w:w="0" w:type="dxa"/>
              <w:right w:w="0" w:type="dxa"/>
            </w:tcMar>
            <w:vAlign w:val="center"/>
          </w:tcPr>
          <w:p w14:paraId="781537DA">
            <w:pPr>
              <w:spacing w:line="360" w:lineRule="atLeast"/>
              <w:rPr>
                <w:rFonts w:ascii="Arial" w:hAnsi="Arial" w:cs="Arial"/>
                <w:color w:val="2A2928"/>
                <w:sz w:val="24"/>
                <w:szCs w:val="24"/>
              </w:rPr>
            </w:pPr>
            <w:r>
              <w:rPr>
                <w:rFonts w:ascii="Arial" w:hAnsi="Arial" w:cs="Arial"/>
                <w:color w:val="2A2928"/>
                <w:sz w:val="24"/>
                <w:szCs w:val="24"/>
              </w:rPr>
              <w:t>3. Газонів </w:t>
            </w:r>
          </w:p>
        </w:tc>
        <w:tc>
          <w:tcPr>
            <w:tcW w:w="3550" w:type="pct"/>
            <w:shd w:val="clear" w:color="auto" w:fill="FFFFFF"/>
            <w:tcMar>
              <w:top w:w="0" w:type="dxa"/>
              <w:left w:w="0" w:type="dxa"/>
              <w:bottom w:w="0" w:type="dxa"/>
              <w:right w:w="0" w:type="dxa"/>
            </w:tcMar>
            <w:vAlign w:val="center"/>
          </w:tcPr>
          <w:p w14:paraId="2D70AEC4">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________________________________________________га</w:t>
            </w:r>
            <w:r>
              <w:rPr>
                <w:rFonts w:ascii="Arial" w:hAnsi="Arial" w:cs="Arial"/>
                <w:color w:val="2A2928"/>
                <w:sz w:val="24"/>
                <w:szCs w:val="24"/>
              </w:rPr>
              <w:t> </w:t>
            </w:r>
          </w:p>
        </w:tc>
      </w:tr>
      <w:tr w14:paraId="16E5A5C6">
        <w:tblPrEx>
          <w:shd w:val="clear" w:color="auto" w:fill="FFFFFF"/>
          <w:tblCellMar>
            <w:top w:w="105" w:type="dxa"/>
            <w:left w:w="810" w:type="dxa"/>
            <w:bottom w:w="105" w:type="dxa"/>
            <w:right w:w="810" w:type="dxa"/>
          </w:tblCellMar>
        </w:tblPrEx>
        <w:trPr>
          <w:tblCellSpacing w:w="22" w:type="dxa"/>
          <w:jc w:val="center"/>
        </w:trPr>
        <w:tc>
          <w:tcPr>
            <w:tcW w:w="1450" w:type="pct"/>
            <w:shd w:val="clear" w:color="auto" w:fill="FFFFFF"/>
            <w:tcMar>
              <w:top w:w="0" w:type="dxa"/>
              <w:left w:w="0" w:type="dxa"/>
              <w:bottom w:w="0" w:type="dxa"/>
              <w:right w:w="0" w:type="dxa"/>
            </w:tcMar>
            <w:vAlign w:val="center"/>
          </w:tcPr>
          <w:p w14:paraId="0CCD7C1C">
            <w:pPr>
              <w:spacing w:line="360" w:lineRule="atLeast"/>
              <w:rPr>
                <w:rFonts w:ascii="Arial" w:hAnsi="Arial" w:cs="Arial"/>
                <w:color w:val="2A2928"/>
                <w:sz w:val="24"/>
                <w:szCs w:val="24"/>
              </w:rPr>
            </w:pPr>
            <w:r>
              <w:rPr>
                <w:rFonts w:ascii="Arial" w:hAnsi="Arial" w:cs="Arial"/>
                <w:color w:val="2A2928"/>
                <w:sz w:val="24"/>
                <w:szCs w:val="24"/>
              </w:rPr>
              <w:t>4. Квітників </w:t>
            </w:r>
          </w:p>
        </w:tc>
        <w:tc>
          <w:tcPr>
            <w:tcW w:w="3550" w:type="pct"/>
            <w:shd w:val="clear" w:color="auto" w:fill="FFFFFF"/>
            <w:tcMar>
              <w:top w:w="0" w:type="dxa"/>
              <w:left w:w="0" w:type="dxa"/>
              <w:bottom w:w="0" w:type="dxa"/>
              <w:right w:w="0" w:type="dxa"/>
            </w:tcMar>
            <w:vAlign w:val="center"/>
          </w:tcPr>
          <w:p w14:paraId="20930743">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________________________________________________м</w:t>
            </w:r>
            <w:r>
              <w:rPr>
                <w:rFonts w:ascii="Arial" w:hAnsi="Arial" w:cs="Arial"/>
                <w:color w:val="2A2928"/>
                <w:sz w:val="24"/>
                <w:szCs w:val="24"/>
                <w:vertAlign w:val="superscript"/>
              </w:rPr>
              <w:t>2</w:t>
            </w:r>
            <w:r>
              <w:rPr>
                <w:rFonts w:ascii="Arial" w:hAnsi="Arial" w:cs="Arial"/>
                <w:color w:val="2A2928"/>
                <w:sz w:val="24"/>
                <w:szCs w:val="24"/>
              </w:rPr>
              <w:t> </w:t>
            </w:r>
          </w:p>
        </w:tc>
      </w:tr>
    </w:tbl>
    <w:p w14:paraId="561CD0AF">
      <w:pPr>
        <w:shd w:val="clear" w:color="auto" w:fill="FFFFFF"/>
        <w:spacing w:line="360" w:lineRule="atLeast"/>
        <w:rPr>
          <w:rFonts w:ascii="Arial" w:hAnsi="Arial" w:cs="Arial"/>
          <w:color w:val="2A2928"/>
          <w:sz w:val="24"/>
          <w:szCs w:val="24"/>
        </w:rPr>
      </w:pPr>
      <w:r>
        <w:rPr>
          <w:rFonts w:ascii="Arial" w:hAnsi="Arial" w:cs="Arial"/>
          <w:color w:val="2A2928"/>
          <w:sz w:val="24"/>
          <w:szCs w:val="24"/>
        </w:rPr>
        <w:t>2. Відновна вартість зелених насаджень, що підлягають видаленню:</w:t>
      </w:r>
    </w:p>
    <w:tbl>
      <w:tblPr>
        <w:tblStyle w:val="3"/>
        <w:tblW w:w="10500" w:type="dxa"/>
        <w:jc w:val="center"/>
        <w:tblCellSpacing w:w="22" w:type="dxa"/>
        <w:shd w:val="clear" w:color="auto" w:fill="FFFFFF"/>
        <w:tblLayout w:type="autofit"/>
        <w:tblCellMar>
          <w:top w:w="105" w:type="dxa"/>
          <w:left w:w="810" w:type="dxa"/>
          <w:bottom w:w="105" w:type="dxa"/>
          <w:right w:w="810" w:type="dxa"/>
        </w:tblCellMar>
      </w:tblPr>
      <w:tblGrid>
        <w:gridCol w:w="2554"/>
        <w:gridCol w:w="7946"/>
      </w:tblGrid>
      <w:tr w14:paraId="7BF2A13C">
        <w:tblPrEx>
          <w:shd w:val="clear" w:color="auto" w:fill="FFFFFF"/>
          <w:tblCellMar>
            <w:top w:w="105" w:type="dxa"/>
            <w:left w:w="810" w:type="dxa"/>
            <w:bottom w:w="105" w:type="dxa"/>
            <w:right w:w="810" w:type="dxa"/>
          </w:tblCellMar>
        </w:tblPrEx>
        <w:trPr>
          <w:tblCellSpacing w:w="22" w:type="dxa"/>
          <w:jc w:val="center"/>
        </w:trPr>
        <w:tc>
          <w:tcPr>
            <w:tcW w:w="1200" w:type="pct"/>
            <w:shd w:val="clear" w:color="auto" w:fill="FFFFFF"/>
            <w:tcMar>
              <w:top w:w="0" w:type="dxa"/>
              <w:left w:w="0" w:type="dxa"/>
              <w:bottom w:w="0" w:type="dxa"/>
              <w:right w:w="0" w:type="dxa"/>
            </w:tcMar>
            <w:vAlign w:val="center"/>
          </w:tcPr>
          <w:p w14:paraId="123C67D7">
            <w:pPr>
              <w:spacing w:line="360" w:lineRule="atLeast"/>
              <w:rPr>
                <w:rFonts w:ascii="Arial" w:hAnsi="Arial" w:cs="Arial"/>
                <w:color w:val="2A2928"/>
                <w:sz w:val="24"/>
                <w:szCs w:val="24"/>
              </w:rPr>
            </w:pPr>
            <w:r>
              <w:rPr>
                <w:rFonts w:ascii="Arial" w:hAnsi="Arial" w:cs="Arial"/>
                <w:color w:val="2A2928"/>
                <w:sz w:val="24"/>
                <w:szCs w:val="24"/>
              </w:rPr>
              <w:t>1. Дерев </w:t>
            </w:r>
          </w:p>
        </w:tc>
        <w:tc>
          <w:tcPr>
            <w:tcW w:w="3800" w:type="pct"/>
            <w:shd w:val="clear" w:color="auto" w:fill="FFFFFF"/>
            <w:tcMar>
              <w:top w:w="0" w:type="dxa"/>
              <w:left w:w="0" w:type="dxa"/>
              <w:bottom w:w="0" w:type="dxa"/>
              <w:right w:w="0" w:type="dxa"/>
            </w:tcMar>
            <w:vAlign w:val="center"/>
          </w:tcPr>
          <w:p w14:paraId="11AC6248">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_____________________________________________гривень</w:t>
            </w:r>
            <w:r>
              <w:rPr>
                <w:rFonts w:ascii="Arial" w:hAnsi="Arial" w:cs="Arial"/>
                <w:color w:val="2A2928"/>
                <w:sz w:val="24"/>
                <w:szCs w:val="24"/>
              </w:rPr>
              <w:t> </w:t>
            </w:r>
          </w:p>
        </w:tc>
      </w:tr>
      <w:tr w14:paraId="5E08B102">
        <w:tblPrEx>
          <w:shd w:val="clear" w:color="auto" w:fill="FFFFFF"/>
          <w:tblCellMar>
            <w:top w:w="105" w:type="dxa"/>
            <w:left w:w="810" w:type="dxa"/>
            <w:bottom w:w="105" w:type="dxa"/>
            <w:right w:w="810" w:type="dxa"/>
          </w:tblCellMar>
        </w:tblPrEx>
        <w:trPr>
          <w:tblCellSpacing w:w="22" w:type="dxa"/>
          <w:jc w:val="center"/>
        </w:trPr>
        <w:tc>
          <w:tcPr>
            <w:tcW w:w="1200" w:type="pct"/>
            <w:shd w:val="clear" w:color="auto" w:fill="FFFFFF"/>
            <w:tcMar>
              <w:top w:w="0" w:type="dxa"/>
              <w:left w:w="0" w:type="dxa"/>
              <w:bottom w:w="0" w:type="dxa"/>
              <w:right w:w="0" w:type="dxa"/>
            </w:tcMar>
            <w:vAlign w:val="center"/>
          </w:tcPr>
          <w:p w14:paraId="1F6FF0B9">
            <w:pPr>
              <w:spacing w:line="360" w:lineRule="atLeast"/>
              <w:rPr>
                <w:rFonts w:ascii="Arial" w:hAnsi="Arial" w:cs="Arial"/>
                <w:color w:val="2A2928"/>
                <w:sz w:val="24"/>
                <w:szCs w:val="24"/>
              </w:rPr>
            </w:pPr>
            <w:r>
              <w:rPr>
                <w:rFonts w:ascii="Arial" w:hAnsi="Arial" w:cs="Arial"/>
                <w:color w:val="2A2928"/>
                <w:sz w:val="24"/>
                <w:szCs w:val="24"/>
              </w:rPr>
              <w:t>2. Кущів </w:t>
            </w:r>
          </w:p>
        </w:tc>
        <w:tc>
          <w:tcPr>
            <w:tcW w:w="3800" w:type="pct"/>
            <w:shd w:val="clear" w:color="auto" w:fill="FFFFFF"/>
            <w:tcMar>
              <w:top w:w="0" w:type="dxa"/>
              <w:left w:w="0" w:type="dxa"/>
              <w:bottom w:w="0" w:type="dxa"/>
              <w:right w:w="0" w:type="dxa"/>
            </w:tcMar>
            <w:vAlign w:val="center"/>
          </w:tcPr>
          <w:p w14:paraId="7BFEF68F">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______________________________________________гривень</w:t>
            </w:r>
            <w:r>
              <w:rPr>
                <w:rFonts w:ascii="Arial" w:hAnsi="Arial" w:cs="Arial"/>
                <w:color w:val="2A2928"/>
                <w:sz w:val="24"/>
                <w:szCs w:val="24"/>
              </w:rPr>
              <w:t> </w:t>
            </w:r>
          </w:p>
        </w:tc>
      </w:tr>
      <w:tr w14:paraId="736A012C">
        <w:tblPrEx>
          <w:shd w:val="clear" w:color="auto" w:fill="FFFFFF"/>
          <w:tblCellMar>
            <w:top w:w="105" w:type="dxa"/>
            <w:left w:w="810" w:type="dxa"/>
            <w:bottom w:w="105" w:type="dxa"/>
            <w:right w:w="810" w:type="dxa"/>
          </w:tblCellMar>
        </w:tblPrEx>
        <w:trPr>
          <w:tblCellSpacing w:w="22" w:type="dxa"/>
          <w:jc w:val="center"/>
        </w:trPr>
        <w:tc>
          <w:tcPr>
            <w:tcW w:w="1200" w:type="pct"/>
            <w:shd w:val="clear" w:color="auto" w:fill="FFFFFF"/>
            <w:tcMar>
              <w:top w:w="0" w:type="dxa"/>
              <w:left w:w="0" w:type="dxa"/>
              <w:bottom w:w="0" w:type="dxa"/>
              <w:right w:w="0" w:type="dxa"/>
            </w:tcMar>
            <w:vAlign w:val="center"/>
          </w:tcPr>
          <w:p w14:paraId="70932348">
            <w:pPr>
              <w:spacing w:line="360" w:lineRule="atLeast"/>
              <w:rPr>
                <w:rFonts w:ascii="Arial" w:hAnsi="Arial" w:cs="Arial"/>
                <w:color w:val="2A2928"/>
                <w:sz w:val="24"/>
                <w:szCs w:val="24"/>
              </w:rPr>
            </w:pPr>
            <w:r>
              <w:rPr>
                <w:rFonts w:ascii="Arial" w:hAnsi="Arial" w:cs="Arial"/>
                <w:color w:val="2A2928"/>
                <w:sz w:val="24"/>
                <w:szCs w:val="24"/>
              </w:rPr>
              <w:t>3. Газонів </w:t>
            </w:r>
          </w:p>
        </w:tc>
        <w:tc>
          <w:tcPr>
            <w:tcW w:w="3800" w:type="pct"/>
            <w:shd w:val="clear" w:color="auto" w:fill="FFFFFF"/>
            <w:tcMar>
              <w:top w:w="0" w:type="dxa"/>
              <w:left w:w="0" w:type="dxa"/>
              <w:bottom w:w="0" w:type="dxa"/>
              <w:right w:w="0" w:type="dxa"/>
            </w:tcMar>
            <w:vAlign w:val="center"/>
          </w:tcPr>
          <w:p w14:paraId="6E580E0E">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______________________________________________гривень</w:t>
            </w:r>
            <w:r>
              <w:rPr>
                <w:rFonts w:ascii="Arial" w:hAnsi="Arial" w:cs="Arial"/>
                <w:color w:val="2A2928"/>
                <w:sz w:val="24"/>
                <w:szCs w:val="24"/>
              </w:rPr>
              <w:t> </w:t>
            </w:r>
          </w:p>
        </w:tc>
      </w:tr>
      <w:tr w14:paraId="5629FD4D">
        <w:tblPrEx>
          <w:shd w:val="clear" w:color="auto" w:fill="FFFFFF"/>
          <w:tblCellMar>
            <w:top w:w="105" w:type="dxa"/>
            <w:left w:w="810" w:type="dxa"/>
            <w:bottom w:w="105" w:type="dxa"/>
            <w:right w:w="810" w:type="dxa"/>
          </w:tblCellMar>
        </w:tblPrEx>
        <w:trPr>
          <w:tblCellSpacing w:w="22" w:type="dxa"/>
          <w:jc w:val="center"/>
        </w:trPr>
        <w:tc>
          <w:tcPr>
            <w:tcW w:w="1200" w:type="pct"/>
            <w:shd w:val="clear" w:color="auto" w:fill="FFFFFF"/>
            <w:tcMar>
              <w:top w:w="0" w:type="dxa"/>
              <w:left w:w="0" w:type="dxa"/>
              <w:bottom w:w="0" w:type="dxa"/>
              <w:right w:w="0" w:type="dxa"/>
            </w:tcMar>
            <w:vAlign w:val="center"/>
          </w:tcPr>
          <w:p w14:paraId="15343B06">
            <w:pPr>
              <w:spacing w:line="360" w:lineRule="atLeast"/>
              <w:rPr>
                <w:rFonts w:ascii="Arial" w:hAnsi="Arial" w:cs="Arial"/>
                <w:color w:val="2A2928"/>
                <w:sz w:val="24"/>
                <w:szCs w:val="24"/>
              </w:rPr>
            </w:pPr>
            <w:r>
              <w:rPr>
                <w:rFonts w:ascii="Arial" w:hAnsi="Arial" w:cs="Arial"/>
                <w:color w:val="2A2928"/>
                <w:sz w:val="24"/>
                <w:szCs w:val="24"/>
              </w:rPr>
              <w:t>4. Квітників </w:t>
            </w:r>
          </w:p>
        </w:tc>
        <w:tc>
          <w:tcPr>
            <w:tcW w:w="3800" w:type="pct"/>
            <w:shd w:val="clear" w:color="auto" w:fill="FFFFFF"/>
            <w:tcMar>
              <w:top w:w="0" w:type="dxa"/>
              <w:left w:w="0" w:type="dxa"/>
              <w:bottom w:w="0" w:type="dxa"/>
              <w:right w:w="0" w:type="dxa"/>
            </w:tcMar>
            <w:vAlign w:val="center"/>
          </w:tcPr>
          <w:p w14:paraId="6CD07138">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______________________________________________гривень</w:t>
            </w:r>
            <w:r>
              <w:rPr>
                <w:rFonts w:ascii="Arial" w:hAnsi="Arial" w:cs="Arial"/>
                <w:color w:val="2A2928"/>
                <w:sz w:val="24"/>
                <w:szCs w:val="24"/>
              </w:rPr>
              <w:t> </w:t>
            </w:r>
          </w:p>
        </w:tc>
      </w:tr>
      <w:tr w14:paraId="3394CF8C">
        <w:tblPrEx>
          <w:shd w:val="clear" w:color="auto" w:fill="FFFFFF"/>
          <w:tblCellMar>
            <w:top w:w="105" w:type="dxa"/>
            <w:left w:w="810" w:type="dxa"/>
            <w:bottom w:w="105" w:type="dxa"/>
            <w:right w:w="810" w:type="dxa"/>
          </w:tblCellMar>
        </w:tblPrEx>
        <w:trPr>
          <w:tblCellSpacing w:w="22" w:type="dxa"/>
          <w:jc w:val="center"/>
        </w:trPr>
        <w:tc>
          <w:tcPr>
            <w:tcW w:w="1200" w:type="pct"/>
            <w:shd w:val="clear" w:color="auto" w:fill="FFFFFF"/>
            <w:tcMar>
              <w:top w:w="0" w:type="dxa"/>
              <w:left w:w="0" w:type="dxa"/>
              <w:bottom w:w="0" w:type="dxa"/>
              <w:right w:w="0" w:type="dxa"/>
            </w:tcMar>
            <w:vAlign w:val="center"/>
          </w:tcPr>
          <w:p w14:paraId="2C43FAC2">
            <w:pPr>
              <w:spacing w:line="360" w:lineRule="atLeast"/>
              <w:rPr>
                <w:rFonts w:ascii="Arial" w:hAnsi="Arial" w:cs="Arial"/>
                <w:color w:val="2A2928"/>
                <w:sz w:val="24"/>
                <w:szCs w:val="24"/>
              </w:rPr>
            </w:pPr>
            <w:r>
              <w:fldChar w:fldCharType="begin"/>
            </w:r>
            <w:r>
              <w:instrText xml:space="preserve"> HYPERLINK "http://search.ligazakon.ua/l_doc2.nsf/link1/RE21879.html" \t "_top" </w:instrText>
            </w:r>
            <w:r>
              <w:fldChar w:fldCharType="separate"/>
            </w:r>
            <w:r>
              <w:rPr>
                <w:rFonts w:ascii="Arial" w:hAnsi="Arial" w:cs="Arial"/>
                <w:color w:val="008080"/>
                <w:sz w:val="24"/>
                <w:szCs w:val="24"/>
              </w:rPr>
              <w:t>Разом</w:t>
            </w:r>
            <w:r>
              <w:rPr>
                <w:rFonts w:ascii="Arial" w:hAnsi="Arial" w:cs="Arial"/>
                <w:color w:val="008080"/>
                <w:sz w:val="24"/>
                <w:szCs w:val="24"/>
              </w:rPr>
              <w:fldChar w:fldCharType="end"/>
            </w:r>
          </w:p>
        </w:tc>
        <w:tc>
          <w:tcPr>
            <w:tcW w:w="3800" w:type="pct"/>
            <w:shd w:val="clear" w:color="auto" w:fill="FFFFFF"/>
            <w:tcMar>
              <w:top w:w="0" w:type="dxa"/>
              <w:left w:w="0" w:type="dxa"/>
              <w:bottom w:w="0" w:type="dxa"/>
              <w:right w:w="0" w:type="dxa"/>
            </w:tcMar>
            <w:vAlign w:val="center"/>
          </w:tcPr>
          <w:p w14:paraId="112039BF">
            <w:pPr>
              <w:spacing w:line="360" w:lineRule="atLeast"/>
              <w:rPr>
                <w:rFonts w:ascii="Arial" w:hAnsi="Arial" w:cs="Arial"/>
                <w:color w:val="2A2928"/>
                <w:sz w:val="24"/>
                <w:szCs w:val="24"/>
              </w:rPr>
            </w:pPr>
            <w:r>
              <w:rPr>
                <w:rFonts w:ascii="Arial" w:hAnsi="Arial" w:cs="Arial"/>
                <w:color w:val="2A2928"/>
                <w:sz w:val="24"/>
                <w:szCs w:val="24"/>
                <w:u w:val="single"/>
              </w:rPr>
              <w:t>______________________________________________гривень</w:t>
            </w:r>
            <w:r>
              <w:rPr>
                <w:rFonts w:ascii="Arial" w:hAnsi="Arial" w:cs="Arial"/>
                <w:color w:val="2A2928"/>
                <w:sz w:val="24"/>
                <w:szCs w:val="24"/>
              </w:rPr>
              <w:t> </w:t>
            </w:r>
          </w:p>
        </w:tc>
      </w:tr>
    </w:tbl>
    <w:p w14:paraId="2BA0DF67">
      <w:pPr>
        <w:shd w:val="clear" w:color="auto" w:fill="FFFFFF"/>
        <w:spacing w:line="360" w:lineRule="atLeast"/>
        <w:rPr>
          <w:rFonts w:ascii="Arial" w:hAnsi="Arial" w:cs="Arial"/>
          <w:color w:val="2A2928"/>
          <w:sz w:val="24"/>
          <w:szCs w:val="24"/>
        </w:rPr>
      </w:pPr>
      <w:r>
        <w:rPr>
          <w:rFonts w:ascii="Arial" w:hAnsi="Arial" w:cs="Arial"/>
          <w:color w:val="2A2928"/>
          <w:sz w:val="24"/>
          <w:szCs w:val="24"/>
        </w:rPr>
        <w:t>3. Зелені насадження, що залишаються на місці в межах відведеної під забудову ділянки:</w:t>
      </w:r>
    </w:p>
    <w:tbl>
      <w:tblPr>
        <w:tblStyle w:val="3"/>
        <w:tblW w:w="5000" w:type="pct"/>
        <w:jc w:val="center"/>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16"/>
        <w:gridCol w:w="1747"/>
        <w:gridCol w:w="869"/>
        <w:gridCol w:w="1353"/>
        <w:gridCol w:w="1549"/>
        <w:gridCol w:w="1258"/>
        <w:gridCol w:w="2321"/>
      </w:tblGrid>
      <w:tr w14:paraId="493D73C1">
        <w:tblPrEx>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21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139AF843">
            <w:pPr>
              <w:spacing w:line="360" w:lineRule="atLeast"/>
              <w:rPr>
                <w:sz w:val="24"/>
                <w:szCs w:val="24"/>
              </w:rPr>
            </w:pPr>
            <w:r>
              <w:rPr>
                <w:sz w:val="24"/>
                <w:szCs w:val="24"/>
              </w:rPr>
              <w:t>N з/п </w:t>
            </w:r>
          </w:p>
        </w:tc>
        <w:tc>
          <w:tcPr>
            <w:tcW w:w="918"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515FBF1D">
            <w:pPr>
              <w:spacing w:line="360" w:lineRule="atLeast"/>
              <w:rPr>
                <w:sz w:val="24"/>
                <w:szCs w:val="24"/>
              </w:rPr>
            </w:pPr>
            <w:r>
              <w:rPr>
                <w:sz w:val="24"/>
                <w:szCs w:val="24"/>
              </w:rPr>
              <w:t>Вид зелених насаджень </w:t>
            </w:r>
          </w:p>
        </w:tc>
        <w:tc>
          <w:tcPr>
            <w:tcW w:w="457"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51093B09">
            <w:pPr>
              <w:spacing w:line="360" w:lineRule="atLeast"/>
              <w:rPr>
                <w:sz w:val="24"/>
                <w:szCs w:val="24"/>
              </w:rPr>
            </w:pPr>
            <w:r>
              <w:rPr>
                <w:sz w:val="24"/>
                <w:szCs w:val="24"/>
              </w:rPr>
              <w:t>Вік</w:t>
            </w:r>
            <w:r>
              <w:rPr>
                <w:sz w:val="24"/>
                <w:szCs w:val="24"/>
              </w:rPr>
              <w:br w:type="textWrapping"/>
            </w:r>
            <w:r>
              <w:rPr>
                <w:sz w:val="24"/>
                <w:szCs w:val="24"/>
              </w:rPr>
              <w:t>(років) </w:t>
            </w:r>
          </w:p>
        </w:tc>
        <w:tc>
          <w:tcPr>
            <w:tcW w:w="71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47F2320">
            <w:pPr>
              <w:spacing w:line="360" w:lineRule="atLeast"/>
              <w:rPr>
                <w:sz w:val="24"/>
                <w:szCs w:val="24"/>
              </w:rPr>
            </w:pPr>
            <w:r>
              <w:rPr>
                <w:sz w:val="24"/>
                <w:szCs w:val="24"/>
              </w:rPr>
              <w:t>Висота</w:t>
            </w:r>
            <w:r>
              <w:rPr>
                <w:sz w:val="24"/>
                <w:szCs w:val="24"/>
              </w:rPr>
              <w:br w:type="textWrapping"/>
            </w:r>
            <w:r>
              <w:rPr>
                <w:sz w:val="24"/>
                <w:szCs w:val="24"/>
              </w:rPr>
              <w:t>(м) </w:t>
            </w:r>
          </w:p>
        </w:tc>
        <w:tc>
          <w:tcPr>
            <w:tcW w:w="814"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49502BEF">
            <w:pPr>
              <w:spacing w:line="360" w:lineRule="atLeast"/>
              <w:rPr>
                <w:sz w:val="24"/>
                <w:szCs w:val="24"/>
              </w:rPr>
            </w:pPr>
            <w:r>
              <w:rPr>
                <w:sz w:val="24"/>
                <w:szCs w:val="24"/>
              </w:rPr>
              <w:t>Діаметр стовбура на висоті 1,3 метра від землі</w:t>
            </w:r>
            <w:r>
              <w:rPr>
                <w:sz w:val="24"/>
                <w:szCs w:val="24"/>
              </w:rPr>
              <w:br w:type="textWrapping"/>
            </w:r>
            <w:r>
              <w:rPr>
                <w:sz w:val="24"/>
                <w:szCs w:val="24"/>
              </w:rPr>
              <w:t>(см) </w:t>
            </w:r>
          </w:p>
        </w:tc>
        <w:tc>
          <w:tcPr>
            <w:tcW w:w="66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1DF1B0D0">
            <w:pPr>
              <w:spacing w:line="360" w:lineRule="atLeast"/>
              <w:rPr>
                <w:sz w:val="24"/>
                <w:szCs w:val="24"/>
              </w:rPr>
            </w:pPr>
            <w:r>
              <w:rPr>
                <w:sz w:val="24"/>
                <w:szCs w:val="24"/>
              </w:rPr>
              <w:t>Кількість</w:t>
            </w:r>
            <w:r>
              <w:rPr>
                <w:sz w:val="24"/>
                <w:szCs w:val="24"/>
              </w:rPr>
              <w:br w:type="textWrapping"/>
            </w:r>
            <w:r>
              <w:rPr>
                <w:sz w:val="24"/>
                <w:szCs w:val="24"/>
              </w:rPr>
              <w:t>(шт.) </w:t>
            </w:r>
          </w:p>
        </w:tc>
        <w:tc>
          <w:tcPr>
            <w:tcW w:w="1220"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1E847AAB">
            <w:pPr>
              <w:spacing w:line="360" w:lineRule="atLeast"/>
              <w:rPr>
                <w:sz w:val="24"/>
                <w:szCs w:val="24"/>
              </w:rPr>
            </w:pPr>
            <w:r>
              <w:rPr>
                <w:sz w:val="24"/>
                <w:szCs w:val="24"/>
              </w:rPr>
              <w:t>Якісний стан зелених насаджень</w:t>
            </w:r>
            <w:r>
              <w:rPr>
                <w:sz w:val="24"/>
                <w:szCs w:val="24"/>
              </w:rPr>
              <w:br w:type="textWrapping"/>
            </w:r>
            <w:r>
              <w:rPr>
                <w:sz w:val="24"/>
                <w:szCs w:val="24"/>
              </w:rPr>
              <w:t>(</w:t>
            </w:r>
            <w:r>
              <w:fldChar w:fldCharType="begin"/>
            </w:r>
            <w:r>
              <w:instrText xml:space="preserve"> HYPERLINK "http://search.ligazakon.ua/l_doc2.nsf/link1/RE32432.html" \t "_top" </w:instrText>
            </w:r>
            <w:r>
              <w:fldChar w:fldCharType="separate"/>
            </w:r>
            <w:r>
              <w:rPr>
                <w:color w:val="008000"/>
                <w:sz w:val="24"/>
                <w:szCs w:val="24"/>
              </w:rPr>
              <w:t>добрий</w:t>
            </w:r>
            <w:r>
              <w:rPr>
                <w:color w:val="008000"/>
                <w:sz w:val="24"/>
                <w:szCs w:val="24"/>
              </w:rPr>
              <w:fldChar w:fldCharType="end"/>
            </w:r>
            <w:r>
              <w:rPr>
                <w:sz w:val="24"/>
                <w:szCs w:val="24"/>
              </w:rPr>
              <w:t>, задовільний, незадовільний) </w:t>
            </w:r>
          </w:p>
        </w:tc>
      </w:tr>
      <w:tr w14:paraId="70BBBB85">
        <w:tblPrEx>
          <w:tblBorders>
            <w:top w:val="single" w:color="989898" w:sz="6" w:space="0"/>
            <w:left w:val="single" w:color="989898" w:sz="6" w:space="0"/>
            <w:bottom w:val="single" w:color="989898" w:sz="6" w:space="0"/>
            <w:right w:val="single" w:color="989898" w:sz="6" w:space="0"/>
            <w:insideH w:val="none" w:color="auto" w:sz="0" w:space="0"/>
            <w:insideV w:val="none" w:color="auto" w:sz="0" w:space="0"/>
          </w:tblBorders>
          <w:tblCellMar>
            <w:top w:w="15" w:type="dxa"/>
            <w:left w:w="15" w:type="dxa"/>
            <w:bottom w:w="15" w:type="dxa"/>
            <w:right w:w="15" w:type="dxa"/>
          </w:tblCellMar>
        </w:tblPrEx>
        <w:trPr>
          <w:jc w:val="center"/>
        </w:trPr>
        <w:tc>
          <w:tcPr>
            <w:tcW w:w="219"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5EB414FD">
            <w:pPr>
              <w:spacing w:line="360" w:lineRule="atLeast"/>
              <w:rPr>
                <w:sz w:val="24"/>
                <w:szCs w:val="24"/>
              </w:rPr>
            </w:pPr>
            <w:r>
              <w:rPr>
                <w:sz w:val="24"/>
                <w:szCs w:val="24"/>
              </w:rPr>
              <w:t>1 </w:t>
            </w:r>
          </w:p>
        </w:tc>
        <w:tc>
          <w:tcPr>
            <w:tcW w:w="918"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8ADDCDE">
            <w:pPr>
              <w:spacing w:line="360" w:lineRule="atLeast"/>
              <w:rPr>
                <w:sz w:val="24"/>
                <w:szCs w:val="24"/>
              </w:rPr>
            </w:pPr>
            <w:r>
              <w:rPr>
                <w:sz w:val="24"/>
                <w:szCs w:val="24"/>
              </w:rPr>
              <w:t>  </w:t>
            </w:r>
          </w:p>
        </w:tc>
        <w:tc>
          <w:tcPr>
            <w:tcW w:w="457"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61732898">
            <w:pPr>
              <w:spacing w:line="360" w:lineRule="atLeast"/>
              <w:rPr>
                <w:sz w:val="24"/>
                <w:szCs w:val="24"/>
              </w:rPr>
            </w:pPr>
            <w:r>
              <w:rPr>
                <w:sz w:val="24"/>
                <w:szCs w:val="24"/>
              </w:rPr>
              <w:t>  </w:t>
            </w:r>
          </w:p>
        </w:tc>
        <w:tc>
          <w:tcPr>
            <w:tcW w:w="71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7A2B798E">
            <w:pPr>
              <w:spacing w:line="360" w:lineRule="atLeast"/>
              <w:rPr>
                <w:sz w:val="24"/>
                <w:szCs w:val="24"/>
              </w:rPr>
            </w:pPr>
            <w:r>
              <w:rPr>
                <w:sz w:val="24"/>
                <w:szCs w:val="24"/>
              </w:rPr>
              <w:t>  </w:t>
            </w:r>
          </w:p>
        </w:tc>
        <w:tc>
          <w:tcPr>
            <w:tcW w:w="814"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09F56095">
            <w:pPr>
              <w:spacing w:line="360" w:lineRule="atLeast"/>
              <w:rPr>
                <w:sz w:val="24"/>
                <w:szCs w:val="24"/>
              </w:rPr>
            </w:pPr>
            <w:r>
              <w:rPr>
                <w:sz w:val="24"/>
                <w:szCs w:val="24"/>
              </w:rPr>
              <w:t>  </w:t>
            </w:r>
          </w:p>
        </w:tc>
        <w:tc>
          <w:tcPr>
            <w:tcW w:w="661"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1122AF44">
            <w:pPr>
              <w:spacing w:line="360" w:lineRule="atLeast"/>
              <w:rPr>
                <w:sz w:val="24"/>
                <w:szCs w:val="24"/>
              </w:rPr>
            </w:pPr>
            <w:r>
              <w:rPr>
                <w:sz w:val="24"/>
                <w:szCs w:val="24"/>
              </w:rPr>
              <w:t>  </w:t>
            </w:r>
          </w:p>
        </w:tc>
        <w:tc>
          <w:tcPr>
            <w:tcW w:w="1220" w:type="pct"/>
            <w:tcBorders>
              <w:top w:val="single" w:color="989898" w:sz="6" w:space="0"/>
              <w:left w:val="single" w:color="989898" w:sz="6" w:space="0"/>
              <w:bottom w:val="single" w:color="989898" w:sz="6" w:space="0"/>
              <w:right w:val="single" w:color="989898" w:sz="6" w:space="0"/>
            </w:tcBorders>
            <w:shd w:val="clear" w:color="auto" w:fill="FFFFFF"/>
            <w:tcMar>
              <w:top w:w="0" w:type="dxa"/>
              <w:left w:w="0" w:type="dxa"/>
              <w:bottom w:w="0" w:type="dxa"/>
              <w:right w:w="0" w:type="dxa"/>
            </w:tcMar>
            <w:vAlign w:val="center"/>
          </w:tcPr>
          <w:p w14:paraId="3FDAFCD0">
            <w:pPr>
              <w:spacing w:line="360" w:lineRule="atLeast"/>
              <w:rPr>
                <w:sz w:val="24"/>
                <w:szCs w:val="24"/>
              </w:rPr>
            </w:pPr>
            <w:r>
              <w:rPr>
                <w:sz w:val="24"/>
                <w:szCs w:val="24"/>
              </w:rPr>
              <w:t>  </w:t>
            </w:r>
          </w:p>
        </w:tc>
      </w:tr>
      <w:tr w14:paraId="3007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810" w:type="dxa"/>
            <w:bottom w:w="105" w:type="dxa"/>
            <w:right w:w="810" w:type="dxa"/>
          </w:tblCellMar>
        </w:tblPrEx>
        <w:trPr>
          <w:tblCellSpacing w:w="22" w:type="dxa"/>
          <w:jc w:val="center"/>
        </w:trPr>
        <w:tc>
          <w:tcPr>
            <w:tcW w:w="0" w:type="auto"/>
            <w:gridSpan w:val="7"/>
            <w:shd w:val="clear" w:color="auto" w:fill="FFFFFF"/>
            <w:tcMar>
              <w:top w:w="0" w:type="dxa"/>
              <w:left w:w="0" w:type="dxa"/>
              <w:bottom w:w="0" w:type="dxa"/>
              <w:right w:w="0" w:type="dxa"/>
            </w:tcMar>
            <w:vAlign w:val="center"/>
          </w:tcPr>
          <w:p w14:paraId="15F2D46B">
            <w:pPr>
              <w:spacing w:line="360" w:lineRule="atLeast"/>
              <w:rPr>
                <w:rFonts w:ascii="Arial" w:hAnsi="Arial" w:cs="Arial"/>
                <w:color w:val="2A2928"/>
                <w:sz w:val="24"/>
                <w:szCs w:val="24"/>
              </w:rPr>
            </w:pPr>
            <w:r>
              <w:rPr>
                <w:rFonts w:ascii="Arial" w:hAnsi="Arial" w:cs="Arial"/>
                <w:color w:val="2A2928"/>
                <w:sz w:val="24"/>
                <w:szCs w:val="24"/>
              </w:rPr>
              <w:t>Усього залишається на місці: </w:t>
            </w:r>
          </w:p>
        </w:tc>
      </w:tr>
      <w:tr w14:paraId="6F83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810" w:type="dxa"/>
            <w:bottom w:w="105" w:type="dxa"/>
            <w:right w:w="810" w:type="dxa"/>
          </w:tblCellMar>
        </w:tblPrEx>
        <w:trPr>
          <w:tblCellSpacing w:w="22" w:type="dxa"/>
          <w:jc w:val="center"/>
        </w:trPr>
        <w:tc>
          <w:tcPr>
            <w:tcW w:w="1137" w:type="pct"/>
            <w:gridSpan w:val="2"/>
            <w:shd w:val="clear" w:color="auto" w:fill="FFFFFF"/>
            <w:tcMar>
              <w:top w:w="0" w:type="dxa"/>
              <w:left w:w="0" w:type="dxa"/>
              <w:bottom w:w="0" w:type="dxa"/>
              <w:right w:w="0" w:type="dxa"/>
            </w:tcMar>
            <w:vAlign w:val="center"/>
          </w:tcPr>
          <w:p w14:paraId="1F8F48B5">
            <w:pPr>
              <w:spacing w:line="360" w:lineRule="atLeast"/>
              <w:rPr>
                <w:rFonts w:ascii="Arial" w:hAnsi="Arial" w:cs="Arial"/>
                <w:color w:val="2A2928"/>
                <w:sz w:val="24"/>
                <w:szCs w:val="24"/>
                <w:lang w:val="uk-UA"/>
              </w:rPr>
            </w:pPr>
            <w:r>
              <w:rPr>
                <w:rFonts w:ascii="Arial" w:hAnsi="Arial" w:cs="Arial"/>
                <w:color w:val="2A2928"/>
                <w:sz w:val="24"/>
                <w:szCs w:val="24"/>
              </w:rPr>
              <w:t>1. Дерев </w:t>
            </w:r>
          </w:p>
        </w:tc>
        <w:tc>
          <w:tcPr>
            <w:tcW w:w="3863" w:type="pct"/>
            <w:gridSpan w:val="5"/>
            <w:shd w:val="clear" w:color="auto" w:fill="FFFFFF"/>
            <w:tcMar>
              <w:top w:w="0" w:type="dxa"/>
              <w:left w:w="0" w:type="dxa"/>
              <w:bottom w:w="0" w:type="dxa"/>
              <w:right w:w="0" w:type="dxa"/>
            </w:tcMar>
            <w:vAlign w:val="center"/>
          </w:tcPr>
          <w:p w14:paraId="55E2A5A6">
            <w:pPr>
              <w:spacing w:line="360" w:lineRule="atLeast"/>
              <w:rPr>
                <w:rFonts w:ascii="Arial" w:hAnsi="Arial" w:cs="Arial"/>
                <w:color w:val="2A2928"/>
                <w:sz w:val="24"/>
                <w:szCs w:val="24"/>
              </w:rPr>
            </w:pPr>
            <w:r>
              <w:rPr>
                <w:rFonts w:ascii="Arial" w:hAnsi="Arial" w:cs="Arial"/>
                <w:color w:val="2A2928"/>
                <w:sz w:val="24"/>
                <w:szCs w:val="24"/>
                <w:lang w:val="uk-UA"/>
              </w:rPr>
              <w:t xml:space="preserve">       </w:t>
            </w:r>
            <w:r>
              <w:rPr>
                <w:rFonts w:ascii="Arial" w:hAnsi="Arial" w:cs="Arial"/>
                <w:color w:val="2A2928"/>
                <w:sz w:val="24"/>
                <w:szCs w:val="24"/>
                <w:u w:val="single"/>
                <w:lang w:val="uk-UA"/>
              </w:rPr>
              <w:t xml:space="preserve"> </w:t>
            </w:r>
            <w:r>
              <w:rPr>
                <w:rFonts w:ascii="Arial" w:hAnsi="Arial" w:cs="Arial"/>
                <w:color w:val="2A2928"/>
                <w:sz w:val="24"/>
                <w:szCs w:val="24"/>
                <w:u w:val="single"/>
              </w:rPr>
              <w:t>______________________________________________одиниць </w:t>
            </w:r>
          </w:p>
        </w:tc>
      </w:tr>
      <w:tr w14:paraId="3249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810" w:type="dxa"/>
            <w:bottom w:w="105" w:type="dxa"/>
            <w:right w:w="810" w:type="dxa"/>
          </w:tblCellMar>
        </w:tblPrEx>
        <w:trPr>
          <w:tblCellSpacing w:w="22" w:type="dxa"/>
          <w:jc w:val="center"/>
        </w:trPr>
        <w:tc>
          <w:tcPr>
            <w:tcW w:w="1137" w:type="pct"/>
            <w:gridSpan w:val="2"/>
            <w:shd w:val="clear" w:color="auto" w:fill="FFFFFF"/>
            <w:tcMar>
              <w:top w:w="0" w:type="dxa"/>
              <w:left w:w="0" w:type="dxa"/>
              <w:bottom w:w="0" w:type="dxa"/>
              <w:right w:w="0" w:type="dxa"/>
            </w:tcMar>
            <w:vAlign w:val="center"/>
          </w:tcPr>
          <w:p w14:paraId="2ED9ACEC">
            <w:pPr>
              <w:spacing w:line="360" w:lineRule="atLeast"/>
              <w:jc w:val="both"/>
              <w:rPr>
                <w:rFonts w:ascii="Arial" w:hAnsi="Arial" w:cs="Arial"/>
                <w:color w:val="2A2928"/>
                <w:sz w:val="24"/>
                <w:szCs w:val="24"/>
              </w:rPr>
            </w:pPr>
            <w:r>
              <w:rPr>
                <w:rFonts w:ascii="Arial" w:hAnsi="Arial" w:cs="Arial"/>
                <w:color w:val="2A2928"/>
                <w:sz w:val="24"/>
                <w:szCs w:val="24"/>
              </w:rPr>
              <w:t>2. Кущів </w:t>
            </w:r>
          </w:p>
        </w:tc>
        <w:tc>
          <w:tcPr>
            <w:tcW w:w="3863" w:type="pct"/>
            <w:gridSpan w:val="5"/>
            <w:shd w:val="clear" w:color="auto" w:fill="FFFFFF"/>
            <w:tcMar>
              <w:top w:w="0" w:type="dxa"/>
              <w:left w:w="0" w:type="dxa"/>
              <w:bottom w:w="0" w:type="dxa"/>
              <w:right w:w="0" w:type="dxa"/>
            </w:tcMar>
            <w:vAlign w:val="center"/>
          </w:tcPr>
          <w:p w14:paraId="6D257BFF">
            <w:pPr>
              <w:spacing w:line="360" w:lineRule="atLeast"/>
              <w:jc w:val="right"/>
              <w:rPr>
                <w:rFonts w:ascii="Arial" w:hAnsi="Arial" w:cs="Arial"/>
                <w:color w:val="2A2928"/>
                <w:sz w:val="24"/>
                <w:szCs w:val="24"/>
              </w:rPr>
            </w:pPr>
            <w:r>
              <w:rPr>
                <w:rFonts w:ascii="Arial" w:hAnsi="Arial" w:cs="Arial"/>
                <w:color w:val="2A2928"/>
                <w:sz w:val="24"/>
                <w:szCs w:val="24"/>
                <w:u w:val="single"/>
              </w:rPr>
              <w:t>______________________________________________одиниць</w:t>
            </w:r>
            <w:r>
              <w:rPr>
                <w:rFonts w:ascii="Arial" w:hAnsi="Arial" w:cs="Arial"/>
                <w:color w:val="2A2928"/>
                <w:sz w:val="24"/>
                <w:szCs w:val="24"/>
              </w:rPr>
              <w:t> </w:t>
            </w:r>
          </w:p>
        </w:tc>
      </w:tr>
      <w:tr w14:paraId="54CA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810" w:type="dxa"/>
            <w:bottom w:w="105" w:type="dxa"/>
            <w:right w:w="810" w:type="dxa"/>
          </w:tblCellMar>
        </w:tblPrEx>
        <w:trPr>
          <w:tblCellSpacing w:w="22" w:type="dxa"/>
          <w:jc w:val="center"/>
        </w:trPr>
        <w:tc>
          <w:tcPr>
            <w:tcW w:w="1137" w:type="pct"/>
            <w:gridSpan w:val="2"/>
            <w:shd w:val="clear" w:color="auto" w:fill="FFFFFF"/>
            <w:tcMar>
              <w:top w:w="0" w:type="dxa"/>
              <w:left w:w="0" w:type="dxa"/>
              <w:bottom w:w="0" w:type="dxa"/>
              <w:right w:w="0" w:type="dxa"/>
            </w:tcMar>
            <w:vAlign w:val="center"/>
          </w:tcPr>
          <w:p w14:paraId="4DE69B37">
            <w:pPr>
              <w:spacing w:line="360" w:lineRule="atLeast"/>
              <w:jc w:val="both"/>
              <w:rPr>
                <w:rFonts w:ascii="Arial" w:hAnsi="Arial" w:cs="Arial"/>
                <w:color w:val="2A2928"/>
                <w:sz w:val="24"/>
                <w:szCs w:val="24"/>
              </w:rPr>
            </w:pPr>
            <w:r>
              <w:rPr>
                <w:rFonts w:ascii="Arial" w:hAnsi="Arial" w:cs="Arial"/>
                <w:color w:val="2A2928"/>
                <w:sz w:val="24"/>
                <w:szCs w:val="24"/>
              </w:rPr>
              <w:t>3. Газонів </w:t>
            </w:r>
          </w:p>
        </w:tc>
        <w:tc>
          <w:tcPr>
            <w:tcW w:w="3863" w:type="pct"/>
            <w:gridSpan w:val="5"/>
            <w:shd w:val="clear" w:color="auto" w:fill="FFFFFF"/>
            <w:tcMar>
              <w:top w:w="0" w:type="dxa"/>
              <w:left w:w="0" w:type="dxa"/>
              <w:bottom w:w="0" w:type="dxa"/>
              <w:right w:w="0" w:type="dxa"/>
            </w:tcMar>
            <w:vAlign w:val="center"/>
          </w:tcPr>
          <w:p w14:paraId="360CF0B2">
            <w:pPr>
              <w:spacing w:line="360" w:lineRule="atLeast"/>
              <w:jc w:val="right"/>
              <w:rPr>
                <w:rFonts w:ascii="Arial" w:hAnsi="Arial" w:cs="Arial"/>
                <w:color w:val="2A2928"/>
                <w:sz w:val="24"/>
                <w:szCs w:val="24"/>
              </w:rPr>
            </w:pPr>
            <w:r>
              <w:rPr>
                <w:rFonts w:ascii="Arial" w:hAnsi="Arial" w:cs="Arial"/>
                <w:color w:val="2A2928"/>
                <w:sz w:val="24"/>
                <w:szCs w:val="24"/>
              </w:rPr>
              <w:t>_</w:t>
            </w:r>
            <w:r>
              <w:rPr>
                <w:rFonts w:ascii="Arial" w:hAnsi="Arial" w:cs="Arial"/>
                <w:color w:val="2A2928"/>
                <w:sz w:val="24"/>
                <w:szCs w:val="24"/>
                <w:u w:val="single"/>
              </w:rPr>
              <w:t>___________________________________________________га</w:t>
            </w:r>
            <w:r>
              <w:rPr>
                <w:rFonts w:ascii="Arial" w:hAnsi="Arial" w:cs="Arial"/>
                <w:color w:val="2A2928"/>
                <w:sz w:val="24"/>
                <w:szCs w:val="24"/>
              </w:rPr>
              <w:t> </w:t>
            </w:r>
          </w:p>
        </w:tc>
      </w:tr>
      <w:tr w14:paraId="4C56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810" w:type="dxa"/>
            <w:bottom w:w="105" w:type="dxa"/>
            <w:right w:w="810" w:type="dxa"/>
          </w:tblCellMar>
        </w:tblPrEx>
        <w:trPr>
          <w:tblCellSpacing w:w="22" w:type="dxa"/>
          <w:jc w:val="center"/>
        </w:trPr>
        <w:tc>
          <w:tcPr>
            <w:tcW w:w="1137" w:type="pct"/>
            <w:gridSpan w:val="2"/>
            <w:shd w:val="clear" w:color="auto" w:fill="FFFFFF"/>
            <w:tcMar>
              <w:top w:w="0" w:type="dxa"/>
              <w:left w:w="0" w:type="dxa"/>
              <w:bottom w:w="0" w:type="dxa"/>
              <w:right w:w="0" w:type="dxa"/>
            </w:tcMar>
            <w:vAlign w:val="center"/>
          </w:tcPr>
          <w:p w14:paraId="1767DCB8">
            <w:pPr>
              <w:spacing w:line="360" w:lineRule="atLeast"/>
              <w:jc w:val="both"/>
              <w:rPr>
                <w:rFonts w:ascii="Arial" w:hAnsi="Arial" w:cs="Arial"/>
                <w:color w:val="2A2928"/>
                <w:sz w:val="24"/>
                <w:szCs w:val="24"/>
              </w:rPr>
            </w:pPr>
            <w:r>
              <w:rPr>
                <w:rFonts w:ascii="Arial" w:hAnsi="Arial" w:cs="Arial"/>
                <w:color w:val="2A2928"/>
                <w:sz w:val="24"/>
                <w:szCs w:val="24"/>
              </w:rPr>
              <w:t>4. Квітників </w:t>
            </w:r>
          </w:p>
        </w:tc>
        <w:tc>
          <w:tcPr>
            <w:tcW w:w="3863" w:type="pct"/>
            <w:gridSpan w:val="5"/>
            <w:shd w:val="clear" w:color="auto" w:fill="FFFFFF"/>
            <w:tcMar>
              <w:top w:w="0" w:type="dxa"/>
              <w:left w:w="0" w:type="dxa"/>
              <w:bottom w:w="0" w:type="dxa"/>
              <w:right w:w="0" w:type="dxa"/>
            </w:tcMar>
            <w:vAlign w:val="center"/>
          </w:tcPr>
          <w:p w14:paraId="577F13FA">
            <w:pPr>
              <w:spacing w:line="360" w:lineRule="atLeast"/>
              <w:jc w:val="right"/>
              <w:rPr>
                <w:rFonts w:ascii="Arial" w:hAnsi="Arial" w:cs="Arial"/>
                <w:color w:val="2A2928"/>
                <w:sz w:val="24"/>
                <w:szCs w:val="24"/>
              </w:rPr>
            </w:pPr>
            <w:r>
              <w:rPr>
                <w:rFonts w:ascii="Arial" w:hAnsi="Arial" w:cs="Arial"/>
                <w:color w:val="2A2928"/>
                <w:sz w:val="24"/>
                <w:szCs w:val="24"/>
                <w:u w:val="single"/>
              </w:rPr>
              <w:t>___________________________________________________м</w:t>
            </w:r>
            <w:r>
              <w:rPr>
                <w:rFonts w:ascii="Arial" w:hAnsi="Arial" w:cs="Arial"/>
                <w:color w:val="2A2928"/>
                <w:sz w:val="24"/>
                <w:szCs w:val="24"/>
                <w:vertAlign w:val="superscript"/>
              </w:rPr>
              <w:t>2 </w:t>
            </w:r>
          </w:p>
        </w:tc>
      </w:tr>
    </w:tbl>
    <w:p w14:paraId="5C655B08">
      <w:pPr>
        <w:shd w:val="clear" w:color="auto" w:fill="FFFFFF"/>
        <w:spacing w:line="360" w:lineRule="atLeast"/>
        <w:jc w:val="center"/>
        <w:rPr>
          <w:rFonts w:ascii="Arial" w:hAnsi="Arial" w:cs="Arial"/>
          <w:color w:val="2A2928"/>
          <w:sz w:val="24"/>
          <w:szCs w:val="24"/>
        </w:rPr>
      </w:pPr>
      <w:r>
        <w:rPr>
          <w:rFonts w:ascii="Arial" w:hAnsi="Arial" w:cs="Arial"/>
          <w:color w:val="2A2928"/>
          <w:sz w:val="24"/>
          <w:szCs w:val="24"/>
        </w:rPr>
        <w:t>Висновок комісії:</w:t>
      </w:r>
    </w:p>
    <w:tbl>
      <w:tblPr>
        <w:tblStyle w:val="3"/>
        <w:tblW w:w="10633" w:type="dxa"/>
        <w:jc w:val="center"/>
        <w:tblCellSpacing w:w="22" w:type="dxa"/>
        <w:shd w:val="clear" w:color="auto" w:fill="FFFFFF"/>
        <w:tblLayout w:type="autofit"/>
        <w:tblCellMar>
          <w:top w:w="105" w:type="dxa"/>
          <w:left w:w="810" w:type="dxa"/>
          <w:bottom w:w="105" w:type="dxa"/>
          <w:right w:w="810" w:type="dxa"/>
        </w:tblCellMar>
      </w:tblPr>
      <w:tblGrid>
        <w:gridCol w:w="5165"/>
        <w:gridCol w:w="5164"/>
        <w:gridCol w:w="304"/>
      </w:tblGrid>
      <w:tr w14:paraId="60DA748D">
        <w:tblPrEx>
          <w:shd w:val="clear" w:color="auto" w:fill="FFFFFF"/>
          <w:tblCellMar>
            <w:top w:w="105" w:type="dxa"/>
            <w:left w:w="810" w:type="dxa"/>
            <w:bottom w:w="105" w:type="dxa"/>
            <w:right w:w="810" w:type="dxa"/>
          </w:tblCellMar>
        </w:tblPrEx>
        <w:trPr>
          <w:tblCellSpacing w:w="22" w:type="dxa"/>
          <w:jc w:val="center"/>
        </w:trPr>
        <w:tc>
          <w:tcPr>
            <w:tcW w:w="0" w:type="auto"/>
            <w:gridSpan w:val="3"/>
            <w:shd w:val="clear" w:color="auto" w:fill="FFFFFF"/>
            <w:tcMar>
              <w:top w:w="0" w:type="dxa"/>
              <w:left w:w="0" w:type="dxa"/>
              <w:bottom w:w="0" w:type="dxa"/>
              <w:right w:w="0" w:type="dxa"/>
            </w:tcMar>
            <w:vAlign w:val="center"/>
          </w:tcPr>
          <w:p w14:paraId="525ABFA5">
            <w:pPr>
              <w:spacing w:line="360" w:lineRule="atLeast"/>
              <w:jc w:val="both"/>
              <w:rPr>
                <w:rFonts w:ascii="Arial" w:hAnsi="Arial" w:cs="Arial"/>
                <w:color w:val="2A2928"/>
                <w:sz w:val="24"/>
                <w:szCs w:val="24"/>
              </w:rPr>
            </w:pPr>
            <w:r>
              <w:rPr>
                <w:rFonts w:ascii="Arial" w:hAnsi="Arial" w:cs="Arial"/>
                <w:color w:val="2A2928"/>
                <w:sz w:val="24"/>
                <w:szCs w:val="24"/>
              </w:rPr>
              <w:t>______________________________________________________________________________</w:t>
            </w:r>
            <w:r>
              <w:rPr>
                <w:rFonts w:ascii="Arial" w:hAnsi="Arial" w:cs="Arial"/>
                <w:color w:val="2A2928"/>
                <w:sz w:val="24"/>
                <w:szCs w:val="24"/>
              </w:rPr>
              <w:br w:type="textWrapping"/>
            </w:r>
            <w:r>
              <w:rPr>
                <w:rFonts w:ascii="Arial" w:hAnsi="Arial" w:cs="Arial"/>
                <w:color w:val="2A2928"/>
                <w:sz w:val="22"/>
                <w:szCs w:val="22"/>
              </w:rPr>
              <w:t>Зелені насадження, що залишаються на місці на час будівництва, передаються на збереження</w:t>
            </w:r>
            <w:r>
              <w:rPr>
                <w:rFonts w:ascii="Arial" w:hAnsi="Arial" w:cs="Arial"/>
                <w:color w:val="2A2928"/>
                <w:sz w:val="24"/>
                <w:szCs w:val="24"/>
              </w:rPr>
              <w:br w:type="textWrapping"/>
            </w:r>
            <w:r>
              <w:rPr>
                <w:rFonts w:ascii="Arial" w:hAnsi="Arial" w:cs="Arial"/>
                <w:color w:val="2A2928"/>
                <w:sz w:val="24"/>
                <w:szCs w:val="24"/>
              </w:rPr>
              <w:t>______________________________________________________________________________</w:t>
            </w:r>
            <w:r>
              <w:rPr>
                <w:rFonts w:ascii="Arial" w:hAnsi="Arial" w:cs="Arial"/>
                <w:color w:val="2A2928"/>
                <w:sz w:val="24"/>
                <w:szCs w:val="24"/>
                <w:lang w:val="uk-UA"/>
              </w:rPr>
              <w:t>_</w:t>
            </w:r>
            <w:r>
              <w:rPr>
                <w:rFonts w:ascii="Arial" w:hAnsi="Arial" w:cs="Arial"/>
                <w:color w:val="2A2928"/>
                <w:sz w:val="24"/>
                <w:szCs w:val="24"/>
              </w:rPr>
              <w:br w:type="textWrapping"/>
            </w:r>
            <w:r>
              <w:rPr>
                <w:rFonts w:ascii="Arial" w:hAnsi="Arial" w:cs="Arial"/>
                <w:color w:val="2A2928"/>
              </w:rPr>
              <w:t>                                     </w:t>
            </w:r>
            <w:r>
              <w:rPr>
                <w:rFonts w:ascii="Arial" w:hAnsi="Arial" w:cs="Arial"/>
                <w:color w:val="2A2928"/>
                <w:lang w:val="uk-UA"/>
              </w:rPr>
              <w:t xml:space="preserve">                     </w:t>
            </w:r>
            <w:r>
              <w:rPr>
                <w:rFonts w:ascii="Arial" w:hAnsi="Arial" w:cs="Arial"/>
                <w:color w:val="2A2928"/>
              </w:rPr>
              <w:t xml:space="preserve"> (прізвище, ім'я, по батькові, посада)</w:t>
            </w:r>
            <w:r>
              <w:rPr>
                <w:rFonts w:ascii="Arial" w:hAnsi="Arial" w:cs="Arial"/>
                <w:color w:val="2A2928"/>
                <w:sz w:val="24"/>
                <w:szCs w:val="24"/>
              </w:rPr>
              <w:t> </w:t>
            </w:r>
          </w:p>
        </w:tc>
      </w:tr>
      <w:tr w14:paraId="32485146">
        <w:tblPrEx>
          <w:shd w:val="clear" w:color="auto" w:fill="FFFFFF"/>
          <w:tblCellMar>
            <w:top w:w="105" w:type="dxa"/>
            <w:left w:w="810" w:type="dxa"/>
            <w:bottom w:w="105" w:type="dxa"/>
            <w:right w:w="810" w:type="dxa"/>
          </w:tblCellMar>
        </w:tblPrEx>
        <w:trPr>
          <w:gridAfter w:val="1"/>
          <w:wAfter w:w="306" w:type="dxa"/>
          <w:tblCellSpacing w:w="22" w:type="dxa"/>
          <w:jc w:val="center"/>
        </w:trPr>
        <w:tc>
          <w:tcPr>
            <w:tcW w:w="2438" w:type="pct"/>
            <w:shd w:val="clear" w:color="auto" w:fill="FFFFFF"/>
            <w:tcMar>
              <w:top w:w="0" w:type="dxa"/>
              <w:left w:w="0" w:type="dxa"/>
              <w:bottom w:w="0" w:type="dxa"/>
              <w:right w:w="0" w:type="dxa"/>
            </w:tcMar>
            <w:vAlign w:val="center"/>
          </w:tcPr>
          <w:p w14:paraId="6F7E4376">
            <w:pPr>
              <w:spacing w:line="360" w:lineRule="atLeast"/>
              <w:rPr>
                <w:rFonts w:ascii="Arial" w:hAnsi="Arial" w:cs="Arial"/>
                <w:color w:val="2A2928"/>
                <w:sz w:val="24"/>
                <w:szCs w:val="24"/>
              </w:rPr>
            </w:pPr>
            <w:r>
              <w:rPr>
                <w:rFonts w:ascii="Arial" w:hAnsi="Arial" w:cs="Arial"/>
                <w:color w:val="2A2928"/>
                <w:sz w:val="24"/>
                <w:szCs w:val="24"/>
                <w:lang w:val="uk-UA"/>
              </w:rPr>
              <w:t>Г</w:t>
            </w:r>
            <w:r>
              <w:rPr>
                <w:rFonts w:ascii="Arial" w:hAnsi="Arial" w:cs="Arial"/>
                <w:color w:val="2A2928"/>
                <w:sz w:val="24"/>
                <w:szCs w:val="24"/>
              </w:rPr>
              <w:t>олова комісії </w:t>
            </w:r>
          </w:p>
        </w:tc>
        <w:tc>
          <w:tcPr>
            <w:tcW w:w="2448" w:type="pct"/>
            <w:shd w:val="clear" w:color="auto" w:fill="FFFFFF"/>
            <w:tcMar>
              <w:top w:w="0" w:type="dxa"/>
              <w:left w:w="0" w:type="dxa"/>
              <w:bottom w:w="0" w:type="dxa"/>
              <w:right w:w="0" w:type="dxa"/>
            </w:tcMar>
            <w:vAlign w:val="center"/>
          </w:tcPr>
          <w:p w14:paraId="43212B4A">
            <w:pPr>
              <w:spacing w:line="360" w:lineRule="atLeast"/>
              <w:rPr>
                <w:rFonts w:ascii="Arial" w:hAnsi="Arial" w:cs="Arial"/>
                <w:color w:val="2A2928"/>
                <w:sz w:val="24"/>
                <w:szCs w:val="24"/>
              </w:rPr>
            </w:pPr>
            <w:r>
              <w:rPr>
                <w:rFonts w:ascii="Arial" w:hAnsi="Arial" w:cs="Arial"/>
                <w:color w:val="2A2928"/>
                <w:sz w:val="24"/>
                <w:szCs w:val="24"/>
              </w:rPr>
              <w:t>  </w:t>
            </w:r>
          </w:p>
        </w:tc>
      </w:tr>
      <w:tr w14:paraId="291A6774">
        <w:tblPrEx>
          <w:shd w:val="clear" w:color="auto" w:fill="FFFFFF"/>
          <w:tblCellMar>
            <w:top w:w="105" w:type="dxa"/>
            <w:left w:w="810" w:type="dxa"/>
            <w:bottom w:w="105" w:type="dxa"/>
            <w:right w:w="810" w:type="dxa"/>
          </w:tblCellMar>
        </w:tblPrEx>
        <w:trPr>
          <w:gridAfter w:val="1"/>
          <w:wAfter w:w="306" w:type="dxa"/>
          <w:tblCellSpacing w:w="22" w:type="dxa"/>
          <w:jc w:val="center"/>
        </w:trPr>
        <w:tc>
          <w:tcPr>
            <w:tcW w:w="2438" w:type="pct"/>
            <w:shd w:val="clear" w:color="auto" w:fill="FFFFFF"/>
            <w:tcMar>
              <w:top w:w="0" w:type="dxa"/>
              <w:left w:w="0" w:type="dxa"/>
              <w:bottom w:w="0" w:type="dxa"/>
              <w:right w:w="0" w:type="dxa"/>
            </w:tcMar>
            <w:vAlign w:val="center"/>
          </w:tcPr>
          <w:p w14:paraId="14BE167E">
            <w:pPr>
              <w:spacing w:line="360" w:lineRule="atLeast"/>
              <w:rPr>
                <w:rFonts w:ascii="Arial" w:hAnsi="Arial" w:cs="Arial"/>
                <w:color w:val="2A2928"/>
                <w:sz w:val="24"/>
                <w:szCs w:val="24"/>
              </w:rPr>
            </w:pPr>
            <w:r>
              <w:rPr>
                <w:rFonts w:ascii="Arial" w:hAnsi="Arial" w:cs="Arial"/>
                <w:color w:val="2A2928"/>
                <w:sz w:val="24"/>
                <w:szCs w:val="24"/>
              </w:rPr>
              <w:t>Члени комісії </w:t>
            </w:r>
          </w:p>
        </w:tc>
        <w:tc>
          <w:tcPr>
            <w:tcW w:w="2448" w:type="pct"/>
            <w:shd w:val="clear" w:color="auto" w:fill="FFFFFF"/>
            <w:tcMar>
              <w:top w:w="0" w:type="dxa"/>
              <w:left w:w="0" w:type="dxa"/>
              <w:bottom w:w="0" w:type="dxa"/>
              <w:right w:w="0" w:type="dxa"/>
            </w:tcMar>
            <w:vAlign w:val="center"/>
          </w:tcPr>
          <w:p w14:paraId="1D8B950B">
            <w:pPr>
              <w:spacing w:line="360" w:lineRule="atLeast"/>
              <w:rPr>
                <w:rFonts w:ascii="Arial" w:hAnsi="Arial" w:cs="Arial"/>
                <w:color w:val="2A2928"/>
                <w:sz w:val="24"/>
                <w:szCs w:val="24"/>
              </w:rPr>
            </w:pPr>
            <w:r>
              <w:rPr>
                <w:rFonts w:ascii="Arial" w:hAnsi="Arial" w:cs="Arial"/>
                <w:color w:val="2A2928"/>
                <w:sz w:val="24"/>
                <w:szCs w:val="24"/>
              </w:rPr>
              <w:t>  </w:t>
            </w:r>
          </w:p>
        </w:tc>
      </w:tr>
    </w:tbl>
    <w:p w14:paraId="74A0FCCC">
      <w:pPr>
        <w:spacing w:after="200" w:line="276" w:lineRule="auto"/>
        <w:ind w:left="-993" w:right="-850"/>
        <w:rPr>
          <w:rFonts w:ascii="Calibri" w:hAnsi="Calibri" w:eastAsia="Calibri"/>
          <w:b/>
          <w:sz w:val="28"/>
          <w:szCs w:val="28"/>
          <w:lang w:eastAsia="en-US"/>
        </w:rPr>
      </w:pPr>
    </w:p>
    <w:p w14:paraId="6B2365E3">
      <w:pPr>
        <w:rPr>
          <w:b/>
          <w:color w:val="212529"/>
          <w:sz w:val="28"/>
          <w:szCs w:val="28"/>
          <w:lang w:val="uk-UA" w:eastAsia="uk-UA"/>
        </w:rPr>
        <w:sectPr>
          <w:headerReference r:id="rId5" w:type="default"/>
          <w:pgSz w:w="11906" w:h="16838"/>
          <w:pgMar w:top="143" w:right="849" w:bottom="709" w:left="1560" w:header="137" w:footer="0" w:gutter="0"/>
          <w:cols w:space="720" w:num="1"/>
          <w:formProt w:val="0"/>
          <w:docGrid w:linePitch="360" w:charSpace="4096"/>
        </w:sectPr>
      </w:pPr>
      <w:r>
        <w:rPr>
          <w:b/>
          <w:color w:val="212529"/>
          <w:sz w:val="28"/>
          <w:szCs w:val="28"/>
          <w:lang w:val="uk-UA" w:eastAsia="uk-UA"/>
        </w:rPr>
        <w:t>Секретар ради                                                                Валентина МАЛІГОН</w:t>
      </w:r>
    </w:p>
    <w:p w14:paraId="27CAE2DD">
      <w:pPr>
        <w:ind w:left="7088"/>
        <w:jc w:val="both"/>
        <w:rPr>
          <w:sz w:val="22"/>
        </w:rPr>
      </w:pPr>
      <w:r>
        <w:rPr>
          <w:color w:val="000000"/>
          <w:sz w:val="28"/>
          <w:szCs w:val="24"/>
          <w:lang w:val="uk-UA" w:eastAsia="uk-UA"/>
        </w:rPr>
        <w:t>Додаток 2</w:t>
      </w:r>
    </w:p>
    <w:p w14:paraId="509CFA56">
      <w:pPr>
        <w:ind w:left="7088"/>
        <w:jc w:val="both"/>
        <w:rPr>
          <w:color w:val="212529"/>
          <w:sz w:val="28"/>
          <w:szCs w:val="24"/>
          <w:lang w:val="uk-UA" w:eastAsia="uk-UA"/>
        </w:rPr>
      </w:pPr>
      <w:r>
        <w:rPr>
          <w:color w:val="000000"/>
          <w:sz w:val="28"/>
          <w:szCs w:val="24"/>
          <w:lang w:val="uk-UA" w:eastAsia="uk-UA"/>
        </w:rPr>
        <w:t>до Положення</w:t>
      </w:r>
    </w:p>
    <w:p w14:paraId="3ECD2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uk-UA" w:eastAsia="uk-UA"/>
        </w:rPr>
      </w:pPr>
    </w:p>
    <w:p w14:paraId="7A2FEC8A">
      <w:pPr>
        <w:spacing w:after="200" w:line="276" w:lineRule="auto"/>
        <w:rPr>
          <w:rFonts w:eastAsia="Calibri"/>
          <w:b/>
          <w:sz w:val="32"/>
          <w:szCs w:val="32"/>
          <w:lang w:val="uk-UA" w:eastAsia="en-US"/>
        </w:rPr>
      </w:pPr>
      <w:bookmarkStart w:id="2" w:name="o223"/>
      <w:bookmarkEnd w:id="2"/>
      <w:r>
        <w:rPr>
          <w:rFonts w:eastAsia="Calibri"/>
          <w:b/>
          <w:sz w:val="32"/>
          <w:szCs w:val="32"/>
          <w:lang w:val="uk-UA" w:eastAsia="en-US"/>
        </w:rPr>
        <w:t xml:space="preserve">                                              ОРДЕР № 1</w:t>
      </w:r>
    </w:p>
    <w:p w14:paraId="6E8B5F84">
      <w:pPr>
        <w:spacing w:after="200" w:line="276" w:lineRule="auto"/>
        <w:rPr>
          <w:rFonts w:eastAsia="Calibri"/>
          <w:b/>
          <w:sz w:val="28"/>
          <w:szCs w:val="28"/>
          <w:lang w:val="uk-UA" w:eastAsia="en-US"/>
        </w:rPr>
      </w:pPr>
      <w:r>
        <w:rPr>
          <w:rFonts w:eastAsia="Calibri"/>
          <w:sz w:val="28"/>
          <w:szCs w:val="28"/>
          <w:lang w:val="uk-UA" w:eastAsia="en-US"/>
        </w:rPr>
        <w:t xml:space="preserve">                                 </w:t>
      </w:r>
      <w:r>
        <w:rPr>
          <w:rFonts w:eastAsia="Calibri"/>
          <w:b/>
          <w:sz w:val="28"/>
          <w:szCs w:val="28"/>
          <w:lang w:val="uk-UA" w:eastAsia="en-US"/>
        </w:rPr>
        <w:t>на видалення зелених насаджень</w:t>
      </w:r>
    </w:p>
    <w:p w14:paraId="090C4916">
      <w:pPr>
        <w:spacing w:after="200" w:line="276" w:lineRule="auto"/>
        <w:rPr>
          <w:rFonts w:eastAsia="Calibri"/>
          <w:sz w:val="28"/>
          <w:szCs w:val="28"/>
          <w:lang w:val="uk-UA" w:eastAsia="en-US"/>
        </w:rPr>
      </w:pPr>
      <w:r>
        <w:rPr>
          <w:rFonts w:eastAsia="Calibri"/>
          <w:sz w:val="28"/>
          <w:szCs w:val="28"/>
          <w:lang w:val="uk-UA" w:eastAsia="en-US"/>
        </w:rPr>
        <w:t>с.Попівка                                                                                       Дата</w:t>
      </w:r>
    </w:p>
    <w:p w14:paraId="32C1F0B4">
      <w:pPr>
        <w:spacing w:after="200" w:line="276" w:lineRule="auto"/>
        <w:ind w:firstLine="708"/>
        <w:rPr>
          <w:rFonts w:eastAsia="Calibri"/>
          <w:sz w:val="28"/>
          <w:szCs w:val="28"/>
          <w:lang w:val="uk-UA" w:eastAsia="en-US"/>
        </w:rPr>
      </w:pPr>
      <w:r>
        <w:rPr>
          <w:rFonts w:eastAsia="Calibri"/>
          <w:sz w:val="28"/>
          <w:szCs w:val="28"/>
          <w:lang w:val="uk-UA" w:eastAsia="en-US"/>
        </w:rPr>
        <w:t xml:space="preserve">На підставі (розпорядчий документ) №_____-ОД від «дата» , відповідно до акту обстеження зелених насаджень № ____ від  «дата» </w:t>
      </w:r>
    </w:p>
    <w:p w14:paraId="03AB3D72">
      <w:pPr>
        <w:spacing w:after="200" w:line="276" w:lineRule="auto"/>
        <w:ind w:firstLine="708"/>
        <w:rPr>
          <w:rFonts w:eastAsia="Calibri"/>
          <w:sz w:val="28"/>
          <w:szCs w:val="28"/>
          <w:lang w:val="uk-UA" w:eastAsia="en-US"/>
        </w:rPr>
      </w:pPr>
      <w:r>
        <w:rPr>
          <w:rFonts w:eastAsia="Calibri"/>
          <w:sz w:val="28"/>
          <w:szCs w:val="28"/>
          <w:lang w:val="uk-UA" w:eastAsia="en-US"/>
        </w:rPr>
        <w:t>Дозволяється видалення дерев зазначених в заяві ___________ за адресою:</w:t>
      </w:r>
    </w:p>
    <w:p w14:paraId="06020C6D">
      <w:pPr>
        <w:spacing w:after="200" w:line="276" w:lineRule="auto"/>
        <w:rPr>
          <w:rFonts w:eastAsia="Calibri"/>
          <w:b/>
          <w:sz w:val="28"/>
          <w:szCs w:val="28"/>
          <w:lang w:val="uk-UA" w:eastAsia="en-US"/>
        </w:rPr>
      </w:pPr>
      <w:r>
        <w:rPr>
          <w:rFonts w:eastAsia="Calibri"/>
          <w:b/>
          <w:sz w:val="28"/>
          <w:szCs w:val="28"/>
          <w:lang w:val="uk-UA" w:eastAsia="en-US"/>
        </w:rPr>
        <w:t>____________________________________________________________________</w:t>
      </w:r>
    </w:p>
    <w:p w14:paraId="0904A070">
      <w:pPr>
        <w:spacing w:after="200" w:line="276" w:lineRule="auto"/>
        <w:rPr>
          <w:rFonts w:eastAsia="Calibri"/>
          <w:b/>
          <w:sz w:val="28"/>
          <w:szCs w:val="28"/>
          <w:lang w:val="uk-UA" w:eastAsia="en-US"/>
        </w:rPr>
      </w:pPr>
      <w:r>
        <w:rPr>
          <w:rFonts w:eastAsia="Calibri"/>
          <w:b/>
          <w:sz w:val="28"/>
          <w:szCs w:val="28"/>
          <w:lang w:val="uk-UA" w:eastAsia="en-US"/>
        </w:rPr>
        <w:t>Найменування дерев та кількість</w:t>
      </w:r>
    </w:p>
    <w:p w14:paraId="50224C2D">
      <w:pPr>
        <w:spacing w:after="200" w:line="276" w:lineRule="auto"/>
        <w:rPr>
          <w:rFonts w:eastAsia="Calibri"/>
          <w:sz w:val="28"/>
          <w:szCs w:val="28"/>
          <w:lang w:val="uk-UA" w:eastAsia="en-US"/>
        </w:rPr>
      </w:pPr>
      <w:r>
        <w:rPr>
          <w:rFonts w:eastAsia="Calibri"/>
          <w:sz w:val="28"/>
          <w:szCs w:val="28"/>
          <w:lang w:val="uk-UA" w:eastAsia="en-US"/>
        </w:rPr>
        <w:t xml:space="preserve">Термін видалення дерев та благоустрій території  встановлюється до </w:t>
      </w:r>
    </w:p>
    <w:p w14:paraId="1CA3CD1B">
      <w:pPr>
        <w:spacing w:after="200" w:line="276" w:lineRule="auto"/>
        <w:rPr>
          <w:rFonts w:eastAsia="Calibri"/>
          <w:b/>
          <w:sz w:val="28"/>
          <w:szCs w:val="28"/>
          <w:lang w:val="uk-UA" w:eastAsia="en-US"/>
        </w:rPr>
      </w:pPr>
      <w:r>
        <w:rPr>
          <w:rFonts w:eastAsia="Calibri"/>
          <w:b/>
          <w:sz w:val="28"/>
          <w:szCs w:val="28"/>
          <w:lang w:val="uk-UA" w:eastAsia="en-US"/>
        </w:rPr>
        <w:t xml:space="preserve">«дата» </w:t>
      </w:r>
    </w:p>
    <w:p w14:paraId="72C61A43">
      <w:pPr>
        <w:spacing w:after="200" w:line="276" w:lineRule="auto"/>
        <w:rPr>
          <w:rFonts w:eastAsia="Calibri"/>
          <w:sz w:val="28"/>
          <w:szCs w:val="28"/>
          <w:lang w:val="uk-UA" w:eastAsia="en-US"/>
        </w:rPr>
      </w:pPr>
      <w:r>
        <w:rPr>
          <w:rFonts w:eastAsia="Calibri"/>
          <w:sz w:val="28"/>
          <w:szCs w:val="28"/>
          <w:lang w:val="uk-UA" w:eastAsia="en-US"/>
        </w:rPr>
        <w:t>Використання вирубаної деревини передається ___________ відповідно до __________.</w:t>
      </w:r>
    </w:p>
    <w:p w14:paraId="4769B1A4">
      <w:pPr>
        <w:spacing w:after="200" w:line="276" w:lineRule="auto"/>
        <w:rPr>
          <w:rFonts w:eastAsia="Calibri"/>
          <w:sz w:val="28"/>
          <w:szCs w:val="28"/>
          <w:lang w:val="uk-UA" w:eastAsia="en-US"/>
        </w:rPr>
      </w:pPr>
    </w:p>
    <w:p w14:paraId="690BFDE1">
      <w:pPr>
        <w:spacing w:after="200" w:line="276" w:lineRule="auto"/>
        <w:rPr>
          <w:rFonts w:eastAsia="Calibri"/>
          <w:sz w:val="18"/>
          <w:szCs w:val="18"/>
          <w:lang w:val="uk-UA" w:eastAsia="en-US"/>
        </w:rPr>
      </w:pPr>
      <w:r>
        <w:rPr>
          <w:rFonts w:eastAsia="Calibri"/>
          <w:sz w:val="28"/>
          <w:szCs w:val="28"/>
          <w:lang w:val="uk-UA" w:eastAsia="en-US"/>
        </w:rPr>
        <w:t xml:space="preserve">«дата»                                                            «дата»                                                                   </w:t>
      </w:r>
      <w:r>
        <w:rPr>
          <w:rFonts w:eastAsia="Calibri"/>
          <w:sz w:val="18"/>
          <w:szCs w:val="18"/>
          <w:lang w:val="uk-UA" w:eastAsia="en-US"/>
        </w:rPr>
        <w:t>Дата відкриття ордеру                                                                         Дата закриття ордеру</w:t>
      </w:r>
    </w:p>
    <w:p w14:paraId="6356451F">
      <w:pPr>
        <w:spacing w:after="200" w:line="276" w:lineRule="auto"/>
        <w:rPr>
          <w:rFonts w:eastAsia="Calibri"/>
          <w:sz w:val="28"/>
          <w:szCs w:val="28"/>
          <w:lang w:val="uk-UA" w:eastAsia="en-US"/>
        </w:rPr>
      </w:pPr>
    </w:p>
    <w:p w14:paraId="373684BA">
      <w:pPr>
        <w:spacing w:after="200" w:line="276" w:lineRule="auto"/>
        <w:rPr>
          <w:rFonts w:eastAsia="Calibri"/>
          <w:sz w:val="28"/>
          <w:szCs w:val="28"/>
          <w:lang w:val="uk-UA" w:eastAsia="en-US"/>
        </w:rPr>
      </w:pPr>
      <w:r>
        <w:rPr>
          <w:rFonts w:eastAsia="Calibri"/>
          <w:sz w:val="28"/>
          <w:szCs w:val="28"/>
          <w:lang w:val="uk-UA" w:eastAsia="en-US"/>
        </w:rPr>
        <w:t xml:space="preserve">Керівник органу, який видає ордер           _____________________________   </w:t>
      </w:r>
    </w:p>
    <w:p w14:paraId="7D22124A">
      <w:pPr>
        <w:spacing w:after="200" w:line="276" w:lineRule="auto"/>
        <w:rPr>
          <w:rFonts w:eastAsia="Calibri"/>
          <w:sz w:val="18"/>
          <w:szCs w:val="18"/>
          <w:lang w:val="uk-UA" w:eastAsia="en-US"/>
        </w:rPr>
      </w:pPr>
      <w:r>
        <w:rPr>
          <w:rFonts w:eastAsia="Calibri"/>
          <w:sz w:val="18"/>
          <w:szCs w:val="18"/>
          <w:lang w:val="uk-UA" w:eastAsia="en-US"/>
        </w:rPr>
        <w:t xml:space="preserve">                                                                                                                          (підпис, Власне ім’я ПРІЗВИЩЕ)</w:t>
      </w:r>
    </w:p>
    <w:p w14:paraId="78438225">
      <w:pPr>
        <w:spacing w:after="200" w:line="276" w:lineRule="auto"/>
        <w:rPr>
          <w:rFonts w:eastAsia="Calibri"/>
          <w:sz w:val="28"/>
          <w:szCs w:val="28"/>
          <w:lang w:val="uk-UA" w:eastAsia="en-US"/>
        </w:rPr>
      </w:pPr>
      <w:r>
        <w:rPr>
          <w:rFonts w:eastAsia="Calibri"/>
          <w:sz w:val="28"/>
          <w:szCs w:val="28"/>
          <w:lang w:val="uk-UA" w:eastAsia="en-US"/>
        </w:rPr>
        <w:t xml:space="preserve">                                                                                                      </w:t>
      </w:r>
    </w:p>
    <w:p w14:paraId="5E6D1271">
      <w:pPr>
        <w:spacing w:after="200" w:line="276" w:lineRule="auto"/>
        <w:rPr>
          <w:rFonts w:eastAsia="Calibri"/>
          <w:sz w:val="28"/>
          <w:szCs w:val="28"/>
          <w:lang w:val="uk-UA" w:eastAsia="en-US"/>
        </w:rPr>
      </w:pPr>
      <w:r>
        <w:rPr>
          <w:rFonts w:eastAsia="Calibri"/>
          <w:sz w:val="28"/>
          <w:szCs w:val="28"/>
          <w:lang w:val="uk-UA" w:eastAsia="en-US"/>
        </w:rPr>
        <w:t xml:space="preserve">МП                                   </w:t>
      </w:r>
    </w:p>
    <w:p w14:paraId="3A2E5578">
      <w:pPr>
        <w:spacing w:after="200" w:line="276" w:lineRule="auto"/>
        <w:rPr>
          <w:rFonts w:eastAsia="Calibri"/>
          <w:sz w:val="28"/>
          <w:szCs w:val="28"/>
          <w:lang w:val="uk-UA" w:eastAsia="en-US"/>
        </w:rPr>
      </w:pPr>
    </w:p>
    <w:p w14:paraId="412DCB34">
      <w:pPr>
        <w:rPr>
          <w:rFonts w:eastAsia="Calibri"/>
          <w:b/>
          <w:sz w:val="28"/>
          <w:szCs w:val="28"/>
          <w:lang w:val="uk-UA" w:eastAsia="en-US"/>
        </w:rPr>
      </w:pPr>
      <w:r>
        <w:rPr>
          <w:rFonts w:eastAsia="Calibri"/>
          <w:b/>
          <w:sz w:val="28"/>
          <w:szCs w:val="28"/>
          <w:lang w:val="uk-UA" w:eastAsia="en-US"/>
        </w:rPr>
        <w:t>Секретар ради                                                          Валентина МАЛІГОН</w:t>
      </w:r>
    </w:p>
    <w:p w14:paraId="57447E14">
      <w:pPr>
        <w:spacing w:after="200" w:line="276" w:lineRule="auto"/>
        <w:rPr>
          <w:rFonts w:eastAsia="Calibri"/>
          <w:sz w:val="28"/>
          <w:szCs w:val="28"/>
          <w:lang w:val="uk-UA" w:eastAsia="en-US"/>
        </w:rPr>
      </w:pPr>
    </w:p>
    <w:p w14:paraId="44DD401E">
      <w:pPr>
        <w:spacing w:after="200" w:line="276" w:lineRule="auto"/>
        <w:rPr>
          <w:rFonts w:eastAsia="Calibri"/>
          <w:sz w:val="28"/>
          <w:szCs w:val="28"/>
          <w:lang w:val="uk-UA" w:eastAsia="en-US"/>
        </w:rPr>
      </w:pPr>
    </w:p>
    <w:p w14:paraId="780BCC33">
      <w:pPr>
        <w:ind w:left="7088"/>
        <w:jc w:val="both"/>
        <w:rPr>
          <w:sz w:val="22"/>
        </w:rPr>
      </w:pPr>
      <w:r>
        <w:rPr>
          <w:color w:val="000000"/>
          <w:sz w:val="28"/>
          <w:szCs w:val="24"/>
          <w:lang w:val="uk-UA" w:eastAsia="uk-UA"/>
        </w:rPr>
        <w:t>Додаток 3</w:t>
      </w:r>
    </w:p>
    <w:p w14:paraId="4355FF60">
      <w:pPr>
        <w:ind w:left="7088"/>
        <w:jc w:val="both"/>
        <w:rPr>
          <w:color w:val="000000"/>
          <w:sz w:val="28"/>
          <w:szCs w:val="24"/>
          <w:lang w:val="uk-UA" w:eastAsia="uk-UA"/>
        </w:rPr>
      </w:pPr>
      <w:r>
        <w:rPr>
          <w:color w:val="000000"/>
          <w:sz w:val="28"/>
          <w:szCs w:val="24"/>
          <w:lang w:val="uk-UA" w:eastAsia="uk-UA"/>
        </w:rPr>
        <w:t>до Положення</w:t>
      </w:r>
    </w:p>
    <w:p w14:paraId="4643879C">
      <w:pPr>
        <w:ind w:left="7088"/>
        <w:jc w:val="both"/>
        <w:rPr>
          <w:color w:val="000000"/>
          <w:sz w:val="28"/>
          <w:szCs w:val="24"/>
          <w:lang w:val="uk-UA" w:eastAsia="uk-UA"/>
        </w:rPr>
      </w:pPr>
    </w:p>
    <w:p w14:paraId="3FB0B3ED">
      <w:pPr>
        <w:jc w:val="center"/>
        <w:rPr>
          <w:b/>
          <w:sz w:val="28"/>
        </w:rPr>
      </w:pPr>
      <w:r>
        <w:rPr>
          <w:b/>
          <w:sz w:val="28"/>
        </w:rPr>
        <w:t>Акт</w:t>
      </w:r>
    </w:p>
    <w:p w14:paraId="7F27B9F8">
      <w:pPr>
        <w:jc w:val="center"/>
        <w:rPr>
          <w:b/>
          <w:sz w:val="28"/>
        </w:rPr>
      </w:pPr>
      <w:r>
        <w:rPr>
          <w:b/>
          <w:sz w:val="28"/>
        </w:rPr>
        <w:t xml:space="preserve">прийому-передачі </w:t>
      </w:r>
    </w:p>
    <w:p w14:paraId="5BD11AE7">
      <w:pPr>
        <w:jc w:val="center"/>
        <w:rPr>
          <w:sz w:val="28"/>
        </w:rPr>
      </w:pPr>
      <w:r>
        <w:rPr>
          <w:sz w:val="28"/>
        </w:rPr>
        <w:t xml:space="preserve"> вторинної сировини (дров, деревини, гілок)</w:t>
      </w:r>
    </w:p>
    <w:p w14:paraId="227E3ABC">
      <w:pPr>
        <w:jc w:val="both"/>
        <w:rPr>
          <w:sz w:val="28"/>
          <w:lang w:val="uk-UA"/>
        </w:rPr>
      </w:pPr>
    </w:p>
    <w:p w14:paraId="465AA2C7">
      <w:pPr>
        <w:jc w:val="both"/>
        <w:rPr>
          <w:sz w:val="28"/>
          <w:lang w:val="uk-UA"/>
        </w:rPr>
      </w:pPr>
      <w:r>
        <w:rPr>
          <w:sz w:val="28"/>
          <w:lang w:val="uk-UA"/>
        </w:rPr>
        <w:t xml:space="preserve">Населений пункт </w:t>
      </w:r>
      <w:r>
        <w:rPr>
          <w:sz w:val="28"/>
        </w:rPr>
        <w:tab/>
      </w:r>
      <w:r>
        <w:rPr>
          <w:sz w:val="28"/>
        </w:rPr>
        <w:tab/>
      </w:r>
      <w:r>
        <w:rPr>
          <w:sz w:val="28"/>
        </w:rPr>
        <w:tab/>
      </w:r>
      <w:r>
        <w:rPr>
          <w:sz w:val="28"/>
        </w:rPr>
        <w:tab/>
      </w:r>
      <w:r>
        <w:rPr>
          <w:sz w:val="28"/>
        </w:rPr>
        <w:tab/>
      </w:r>
      <w:r>
        <w:rPr>
          <w:sz w:val="28"/>
        </w:rPr>
        <w:tab/>
      </w:r>
      <w:r>
        <w:rPr>
          <w:sz w:val="28"/>
        </w:rPr>
        <w:tab/>
      </w:r>
      <w:r>
        <w:rPr>
          <w:sz w:val="28"/>
          <w:lang w:val="uk-UA"/>
        </w:rPr>
        <w:t xml:space="preserve">              Дата</w:t>
      </w:r>
    </w:p>
    <w:p w14:paraId="4E9D13E3">
      <w:pPr>
        <w:jc w:val="center"/>
        <w:rPr>
          <w:sz w:val="28"/>
        </w:rPr>
      </w:pPr>
    </w:p>
    <w:p w14:paraId="61EABECE">
      <w:pPr>
        <w:rPr>
          <w:sz w:val="28"/>
          <w:lang w:val="uk-UA"/>
        </w:rPr>
      </w:pPr>
      <w:r>
        <w:rPr>
          <w:sz w:val="28"/>
          <w:lang w:val="uk-UA"/>
        </w:rPr>
        <w:t xml:space="preserve">Комісія у складі: </w:t>
      </w:r>
    </w:p>
    <w:p w14:paraId="1FEFB338">
      <w:pPr>
        <w:tabs>
          <w:tab w:val="left" w:pos="7088"/>
        </w:tabs>
        <w:jc w:val="both"/>
        <w:rPr>
          <w:sz w:val="28"/>
          <w:lang w:val="uk-UA"/>
        </w:rPr>
      </w:pPr>
      <w:r>
        <w:rPr>
          <w:sz w:val="28"/>
          <w:lang w:val="uk-UA"/>
        </w:rPr>
        <w:t xml:space="preserve">Голова комісії </w:t>
      </w:r>
    </w:p>
    <w:p w14:paraId="46C7CDC2">
      <w:pPr>
        <w:jc w:val="both"/>
        <w:rPr>
          <w:sz w:val="28"/>
          <w:lang w:val="uk-UA"/>
        </w:rPr>
      </w:pPr>
      <w:r>
        <w:rPr>
          <w:sz w:val="28"/>
          <w:lang w:val="uk-UA"/>
        </w:rPr>
        <w:t>Члени комісії:</w:t>
      </w:r>
    </w:p>
    <w:p w14:paraId="393FE606">
      <w:pPr>
        <w:jc w:val="both"/>
        <w:rPr>
          <w:sz w:val="28"/>
          <w:lang w:val="uk-UA"/>
        </w:rPr>
      </w:pPr>
    </w:p>
    <w:p w14:paraId="1D4BC3BF">
      <w:pPr>
        <w:jc w:val="both"/>
        <w:rPr>
          <w:sz w:val="28"/>
          <w:lang w:val="uk-UA"/>
        </w:rPr>
      </w:pPr>
      <w:r>
        <w:rPr>
          <w:sz w:val="28"/>
          <w:lang w:val="uk-UA"/>
        </w:rPr>
        <w:t>Склала даний акт про те, що, керуючись актом</w:t>
      </w:r>
      <w:r>
        <w:rPr>
          <w:lang w:val="uk-UA"/>
        </w:rPr>
        <w:t xml:space="preserve"> </w:t>
      </w:r>
      <w:r>
        <w:rPr>
          <w:sz w:val="28"/>
          <w:lang w:val="uk-UA"/>
        </w:rPr>
        <w:t xml:space="preserve">обстеження зелених насаджень № ___ від  ____________, рішенням виконавчого комітету </w:t>
      </w:r>
      <w:r>
        <w:rPr>
          <w:sz w:val="28"/>
          <w:szCs w:val="28"/>
          <w:lang w:val="uk-UA" w:eastAsia="uk-UA"/>
        </w:rPr>
        <w:t xml:space="preserve">Попівської сільської ради </w:t>
      </w:r>
      <w:r>
        <w:rPr>
          <w:sz w:val="28"/>
          <w:szCs w:val="28"/>
          <w:lang w:val="uk-UA"/>
        </w:rPr>
        <w:t xml:space="preserve">Конотопського району Сумської області від ________ № ______ </w:t>
      </w:r>
      <w:r>
        <w:rPr>
          <w:sz w:val="28"/>
          <w:lang w:val="uk-UA"/>
        </w:rPr>
        <w:t xml:space="preserve">проведено видалення ___ дерев з метою _________________________. </w:t>
      </w:r>
    </w:p>
    <w:p w14:paraId="7CE5CC70">
      <w:pPr>
        <w:ind w:firstLine="708"/>
        <w:jc w:val="both"/>
        <w:rPr>
          <w:sz w:val="28"/>
          <w:lang w:val="uk-UA"/>
        </w:rPr>
      </w:pPr>
      <w:r>
        <w:rPr>
          <w:sz w:val="28"/>
          <w:lang w:val="uk-UA"/>
        </w:rPr>
        <w:t>Комісією обстежено утворену вторинну сировину (дрова, гілки, деревина), з якої підлягає оприбуткуванню та взяттю на облік, як дрова ________ м3, та, враховуючи стан видалених зелених насаджень, комісія визначила вартість ________грн за 1 м3.</w:t>
      </w:r>
    </w:p>
    <w:p w14:paraId="534BF805">
      <w:pPr>
        <w:ind w:firstLine="708"/>
        <w:jc w:val="both"/>
        <w:rPr>
          <w:sz w:val="28"/>
          <w:lang w:val="uk-UA"/>
        </w:rPr>
      </w:pPr>
      <w:r>
        <w:rPr>
          <w:sz w:val="28"/>
          <w:lang w:val="uk-UA"/>
        </w:rPr>
        <w:t>Утворену вторинну сировину (дрова) перевезено для  ________________________________________________ за адресою: __________________________ _________________________________________ _______ в обсязі ___________ м3 на загальну суму _____________грн.</w:t>
      </w:r>
    </w:p>
    <w:p w14:paraId="4ED4582E">
      <w:pPr>
        <w:jc w:val="both"/>
        <w:rPr>
          <w:sz w:val="28"/>
          <w:lang w:val="uk-UA"/>
        </w:rPr>
      </w:pPr>
    </w:p>
    <w:p w14:paraId="3FB2C217">
      <w:pPr>
        <w:jc w:val="both"/>
        <w:rPr>
          <w:sz w:val="28"/>
          <w:lang w:val="uk-UA"/>
        </w:rPr>
      </w:pPr>
      <w:r>
        <w:rPr>
          <w:sz w:val="28"/>
          <w:lang w:val="uk-UA"/>
        </w:rPr>
        <w:t>Підписи сторін:</w:t>
      </w:r>
    </w:p>
    <w:p w14:paraId="277CFB08">
      <w:pPr>
        <w:jc w:val="both"/>
        <w:rPr>
          <w:sz w:val="28"/>
          <w:lang w:val="uk-UA"/>
        </w:rPr>
      </w:pPr>
      <w:r>
        <w:rPr>
          <w:sz w:val="28"/>
          <w:lang w:val="uk-UA"/>
        </w:rPr>
        <w:t xml:space="preserve">Комісія: </w:t>
      </w:r>
    </w:p>
    <w:p w14:paraId="56A60020">
      <w:pPr>
        <w:tabs>
          <w:tab w:val="left" w:pos="7635"/>
        </w:tabs>
        <w:spacing w:line="360" w:lineRule="atLeast"/>
        <w:rPr>
          <w:rFonts w:ascii="Arial" w:hAnsi="Arial" w:cs="Arial"/>
          <w:lang w:val="uk-UA"/>
        </w:rPr>
      </w:pPr>
      <w:r>
        <w:rPr>
          <w:sz w:val="28"/>
        </w:rPr>
        <w:t>Здав</w:t>
      </w:r>
      <w:r>
        <w:rPr>
          <w:sz w:val="28"/>
          <w:lang w:val="uk-UA"/>
        </w:rPr>
        <w:t xml:space="preserve">:  </w:t>
      </w:r>
    </w:p>
    <w:p w14:paraId="390B5A55">
      <w:pPr>
        <w:jc w:val="both"/>
        <w:rPr>
          <w:sz w:val="28"/>
          <w:lang w:val="uk-UA"/>
        </w:rPr>
      </w:pPr>
      <w:r>
        <w:rPr>
          <w:color w:val="000000"/>
          <w:sz w:val="28"/>
          <w:lang w:eastAsia="uk-UA"/>
        </w:rPr>
        <w:t xml:space="preserve">Прийняв:  </w:t>
      </w:r>
    </w:p>
    <w:p w14:paraId="504BB68F">
      <w:pPr>
        <w:jc w:val="both"/>
        <w:rPr>
          <w:sz w:val="28"/>
          <w:szCs w:val="28"/>
          <w:lang w:val="uk-UA"/>
        </w:rPr>
      </w:pPr>
      <w:r>
        <w:rPr>
          <w:sz w:val="28"/>
          <w:lang w:val="uk-UA"/>
        </w:rPr>
        <w:t>Даний акт складено у 4 рівнозначних примірниках та надано:</w:t>
      </w:r>
    </w:p>
    <w:p w14:paraId="7979830E">
      <w:pPr>
        <w:rPr>
          <w:sz w:val="28"/>
          <w:lang w:val="uk-UA"/>
        </w:rPr>
      </w:pPr>
      <w:r>
        <w:rPr>
          <w:sz w:val="28"/>
          <w:lang w:val="uk-UA"/>
        </w:rPr>
        <w:t>Один примірник акту  -  виконавцю.</w:t>
      </w:r>
    </w:p>
    <w:p w14:paraId="5CDCE0CA">
      <w:pPr>
        <w:rPr>
          <w:sz w:val="28"/>
          <w:lang w:val="uk-UA"/>
        </w:rPr>
      </w:pPr>
      <w:r>
        <w:rPr>
          <w:sz w:val="28"/>
          <w:lang w:val="uk-UA"/>
        </w:rPr>
        <w:t>Другий примірник акту   -  отримувачу вторинної сировини.</w:t>
      </w:r>
    </w:p>
    <w:p w14:paraId="2F8125F4">
      <w:pPr>
        <w:tabs>
          <w:tab w:val="left" w:pos="7230"/>
        </w:tabs>
        <w:spacing w:line="360" w:lineRule="atLeast"/>
        <w:jc w:val="both"/>
        <w:rPr>
          <w:sz w:val="28"/>
          <w:szCs w:val="28"/>
          <w:lang w:val="uk-UA"/>
        </w:rPr>
      </w:pPr>
      <w:r>
        <w:rPr>
          <w:sz w:val="28"/>
          <w:lang w:val="uk-UA"/>
        </w:rPr>
        <w:t xml:space="preserve">Третій примірник акту - </w:t>
      </w:r>
      <w:r>
        <w:rPr>
          <w:sz w:val="28"/>
          <w:szCs w:val="28"/>
          <w:lang w:val="uk-UA"/>
        </w:rPr>
        <w:t>відділу бухгалтерського обліку, звітності та господарської діяльності Попівської сільської ради</w:t>
      </w:r>
    </w:p>
    <w:p w14:paraId="34D35DC2">
      <w:pPr>
        <w:jc w:val="both"/>
        <w:rPr>
          <w:sz w:val="28"/>
          <w:szCs w:val="28"/>
        </w:rPr>
      </w:pPr>
      <w:r>
        <w:rPr>
          <w:sz w:val="28"/>
          <w:lang w:val="uk-UA"/>
        </w:rPr>
        <w:t xml:space="preserve">Четвертий примірник - відділу житлово-комунального господарства, </w:t>
      </w:r>
      <w:r>
        <w:rPr>
          <w:sz w:val="28"/>
          <w:szCs w:val="28"/>
          <w:lang w:val="uk-UA"/>
        </w:rPr>
        <w:t xml:space="preserve">архітектури, будівництва, транспорту та комунальної власності </w:t>
      </w:r>
      <w:r>
        <w:rPr>
          <w:sz w:val="28"/>
          <w:szCs w:val="28"/>
          <w:lang w:val="uk-UA" w:eastAsia="uk-UA"/>
        </w:rPr>
        <w:t xml:space="preserve">Попівської сільської ради </w:t>
      </w:r>
      <w:r>
        <w:rPr>
          <w:sz w:val="28"/>
          <w:szCs w:val="28"/>
          <w:lang w:val="uk-UA"/>
        </w:rPr>
        <w:t>Конотопського району Сумської області.</w:t>
      </w:r>
      <w:r>
        <w:rPr>
          <w:sz w:val="28"/>
          <w:szCs w:val="28"/>
        </w:rPr>
        <w:t xml:space="preserve"> </w:t>
      </w:r>
    </w:p>
    <w:p w14:paraId="752090EA">
      <w:pPr>
        <w:jc w:val="both"/>
        <w:rPr>
          <w:sz w:val="28"/>
          <w:lang w:val="uk-UA"/>
        </w:rPr>
      </w:pPr>
    </w:p>
    <w:p w14:paraId="7F5F374A">
      <w:pPr>
        <w:rPr>
          <w:lang w:val="uk-UA"/>
        </w:rPr>
      </w:pPr>
    </w:p>
    <w:p w14:paraId="72E0A23F">
      <w:pPr>
        <w:rPr>
          <w:rFonts w:eastAsia="Calibri"/>
          <w:b/>
          <w:sz w:val="28"/>
          <w:szCs w:val="28"/>
          <w:lang w:val="uk-UA" w:eastAsia="en-US"/>
        </w:rPr>
      </w:pPr>
      <w:r>
        <w:rPr>
          <w:rFonts w:eastAsia="Calibri"/>
          <w:b/>
          <w:sz w:val="28"/>
          <w:szCs w:val="28"/>
          <w:lang w:val="uk-UA" w:eastAsia="en-US"/>
        </w:rPr>
        <w:t>Секретар ради                                                          Валентина МАЛІГОН</w:t>
      </w:r>
    </w:p>
    <w:p w14:paraId="53B806E6">
      <w:pPr>
        <w:ind w:left="7655"/>
        <w:rPr>
          <w:rFonts w:eastAsia="Calibri"/>
          <w:sz w:val="28"/>
          <w:szCs w:val="28"/>
          <w:lang w:val="uk-UA" w:eastAsia="en-US"/>
        </w:rPr>
      </w:pPr>
      <w:r>
        <w:rPr>
          <w:rFonts w:eastAsia="Calibri"/>
          <w:sz w:val="28"/>
          <w:szCs w:val="28"/>
          <w:lang w:val="uk-UA" w:eastAsia="en-US"/>
        </w:rPr>
        <w:t>Додаток 4</w:t>
      </w:r>
    </w:p>
    <w:p w14:paraId="6D4682F3">
      <w:pPr>
        <w:ind w:left="7655"/>
        <w:rPr>
          <w:rFonts w:eastAsia="Calibri"/>
          <w:sz w:val="28"/>
          <w:szCs w:val="28"/>
          <w:lang w:val="uk-UA" w:eastAsia="en-US"/>
        </w:rPr>
      </w:pPr>
      <w:r>
        <w:rPr>
          <w:rFonts w:eastAsia="Calibri"/>
          <w:sz w:val="28"/>
          <w:szCs w:val="28"/>
          <w:lang w:val="uk-UA" w:eastAsia="en-US"/>
        </w:rPr>
        <w:t>до Положення</w:t>
      </w:r>
    </w:p>
    <w:p w14:paraId="279B0EBB">
      <w:pPr>
        <w:ind w:left="7655"/>
        <w:jc w:val="both"/>
        <w:rPr>
          <w:color w:val="000000"/>
          <w:sz w:val="28"/>
          <w:szCs w:val="24"/>
          <w:lang w:val="uk-UA" w:eastAsia="uk-UA"/>
        </w:rPr>
      </w:pPr>
    </w:p>
    <w:p w14:paraId="7716E5C3">
      <w:pPr>
        <w:ind w:left="7088"/>
        <w:jc w:val="both"/>
        <w:rPr>
          <w:color w:val="000000"/>
          <w:sz w:val="28"/>
          <w:szCs w:val="24"/>
          <w:lang w:val="uk-UA" w:eastAsia="uk-UA"/>
        </w:rPr>
      </w:pPr>
    </w:p>
    <w:p w14:paraId="390DF2B6">
      <w:pPr>
        <w:ind w:left="7088"/>
        <w:jc w:val="both"/>
        <w:rPr>
          <w:color w:val="000000"/>
          <w:sz w:val="28"/>
          <w:szCs w:val="24"/>
          <w:lang w:val="uk-UA" w:eastAsia="uk-UA"/>
        </w:rPr>
      </w:pPr>
    </w:p>
    <w:p w14:paraId="3C2FFE38">
      <w:pPr>
        <w:jc w:val="center"/>
        <w:rPr>
          <w:sz w:val="28"/>
          <w:lang w:val="uk-UA"/>
        </w:rPr>
      </w:pPr>
      <w:r>
        <w:rPr>
          <w:sz w:val="28"/>
          <w:lang w:val="uk-UA"/>
        </w:rPr>
        <w:t xml:space="preserve">Склад комісії </w:t>
      </w:r>
    </w:p>
    <w:p w14:paraId="35E8DAFB">
      <w:pPr>
        <w:jc w:val="center"/>
        <w:rPr>
          <w:sz w:val="28"/>
          <w:lang w:val="uk-UA"/>
        </w:rPr>
      </w:pPr>
      <w:r>
        <w:rPr>
          <w:sz w:val="28"/>
          <w:lang w:val="uk-UA"/>
        </w:rPr>
        <w:t xml:space="preserve">для визначення фактичного об'єму та оцінки </w:t>
      </w:r>
    </w:p>
    <w:p w14:paraId="39C40CE1">
      <w:pPr>
        <w:jc w:val="center"/>
        <w:rPr>
          <w:sz w:val="28"/>
          <w:lang w:val="uk-UA"/>
        </w:rPr>
      </w:pPr>
      <w:r>
        <w:rPr>
          <w:sz w:val="28"/>
          <w:lang w:val="uk-UA"/>
        </w:rPr>
        <w:t xml:space="preserve">вторинної сировини (дров, деревини, гілок), </w:t>
      </w:r>
    </w:p>
    <w:p w14:paraId="3CCD0A38">
      <w:pPr>
        <w:jc w:val="center"/>
        <w:rPr>
          <w:sz w:val="28"/>
          <w:lang w:val="uk-UA"/>
        </w:rPr>
      </w:pPr>
      <w:r>
        <w:rPr>
          <w:sz w:val="28"/>
          <w:lang w:val="uk-UA"/>
        </w:rPr>
        <w:t>що утворюється в результаті видалення зелених насаджень</w:t>
      </w:r>
    </w:p>
    <w:p w14:paraId="65DF239E">
      <w:pPr>
        <w:tabs>
          <w:tab w:val="left" w:pos="7005"/>
        </w:tabs>
        <w:jc w:val="both"/>
        <w:rPr>
          <w:sz w:val="28"/>
          <w:lang w:val="uk-UA"/>
        </w:rPr>
      </w:pPr>
    </w:p>
    <w:p w14:paraId="7C900ED6">
      <w:pPr>
        <w:tabs>
          <w:tab w:val="left" w:pos="7005"/>
        </w:tabs>
        <w:jc w:val="both"/>
        <w:rPr>
          <w:sz w:val="28"/>
          <w:lang w:val="uk-UA"/>
        </w:rPr>
      </w:pPr>
    </w:p>
    <w:p w14:paraId="173DAA70">
      <w:pPr>
        <w:tabs>
          <w:tab w:val="left" w:pos="7088"/>
        </w:tabs>
        <w:jc w:val="both"/>
        <w:rPr>
          <w:sz w:val="28"/>
          <w:lang w:val="uk-UA"/>
        </w:rPr>
      </w:pPr>
      <w:r>
        <w:rPr>
          <w:sz w:val="28"/>
          <w:lang w:val="uk-UA"/>
        </w:rPr>
        <w:t xml:space="preserve">Голова комісії – Заступник сільського голови             </w:t>
      </w:r>
    </w:p>
    <w:p w14:paraId="6EB95A59">
      <w:pPr>
        <w:jc w:val="both"/>
        <w:rPr>
          <w:sz w:val="28"/>
          <w:lang w:val="uk-UA"/>
        </w:rPr>
      </w:pPr>
      <w:r>
        <w:rPr>
          <w:sz w:val="28"/>
          <w:lang w:val="uk-UA"/>
        </w:rPr>
        <w:t>з питань діяльності виконавчих органів ради           Ірина КЛІГУНОВА</w:t>
      </w:r>
    </w:p>
    <w:p w14:paraId="1442EED4">
      <w:pPr>
        <w:tabs>
          <w:tab w:val="left" w:pos="7371"/>
        </w:tabs>
        <w:jc w:val="both"/>
        <w:rPr>
          <w:sz w:val="28"/>
          <w:lang w:val="uk-UA"/>
        </w:rPr>
      </w:pPr>
      <w:r>
        <w:rPr>
          <w:sz w:val="28"/>
          <w:lang w:val="uk-UA"/>
        </w:rPr>
        <w:tab/>
      </w:r>
    </w:p>
    <w:p w14:paraId="2C90CFF1">
      <w:pPr>
        <w:jc w:val="both"/>
        <w:rPr>
          <w:sz w:val="28"/>
          <w:lang w:val="uk-UA"/>
        </w:rPr>
      </w:pPr>
      <w:r>
        <w:rPr>
          <w:sz w:val="28"/>
        </w:rPr>
        <w:t>Члени комісії</w:t>
      </w:r>
      <w:r>
        <w:rPr>
          <w:sz w:val="28"/>
          <w:lang w:val="uk-UA"/>
        </w:rPr>
        <w:t>:</w:t>
      </w:r>
    </w:p>
    <w:p w14:paraId="0C5D0373">
      <w:pPr>
        <w:jc w:val="both"/>
        <w:rPr>
          <w:sz w:val="28"/>
          <w:lang w:val="uk-UA"/>
        </w:rPr>
      </w:pPr>
    </w:p>
    <w:p w14:paraId="66E8085A">
      <w:pPr>
        <w:jc w:val="both"/>
        <w:rPr>
          <w:sz w:val="28"/>
          <w:lang w:val="uk-UA"/>
        </w:rPr>
      </w:pPr>
      <w:r>
        <w:rPr>
          <w:sz w:val="28"/>
          <w:lang w:val="uk-UA"/>
        </w:rPr>
        <w:t>Начальник відділу житлово-комунального</w:t>
      </w:r>
    </w:p>
    <w:p w14:paraId="33DE7B38">
      <w:pPr>
        <w:tabs>
          <w:tab w:val="left" w:pos="7290"/>
        </w:tabs>
        <w:jc w:val="both"/>
        <w:rPr>
          <w:sz w:val="28"/>
          <w:szCs w:val="28"/>
          <w:lang w:val="uk-UA"/>
        </w:rPr>
      </w:pPr>
      <w:r>
        <w:rPr>
          <w:sz w:val="28"/>
          <w:lang w:val="uk-UA"/>
        </w:rPr>
        <w:t xml:space="preserve">господарства, </w:t>
      </w:r>
      <w:r>
        <w:rPr>
          <w:sz w:val="28"/>
          <w:szCs w:val="28"/>
          <w:lang w:val="uk-UA"/>
        </w:rPr>
        <w:t>архітектури, будівництва,                   Тетяна МІЩЕНКО</w:t>
      </w:r>
    </w:p>
    <w:p w14:paraId="1C319DA2">
      <w:pPr>
        <w:jc w:val="both"/>
        <w:rPr>
          <w:sz w:val="28"/>
          <w:szCs w:val="28"/>
          <w:lang w:val="uk-UA"/>
        </w:rPr>
      </w:pPr>
      <w:r>
        <w:rPr>
          <w:sz w:val="28"/>
          <w:szCs w:val="28"/>
          <w:lang w:val="uk-UA"/>
        </w:rPr>
        <w:t xml:space="preserve">транспорту та комунальної власності </w:t>
      </w:r>
    </w:p>
    <w:p w14:paraId="179F09A2">
      <w:pPr>
        <w:tabs>
          <w:tab w:val="left" w:pos="7230"/>
        </w:tabs>
        <w:spacing w:line="360" w:lineRule="atLeast"/>
        <w:rPr>
          <w:sz w:val="28"/>
          <w:szCs w:val="28"/>
          <w:lang w:val="uk-UA" w:eastAsia="uk-UA"/>
        </w:rPr>
      </w:pPr>
    </w:p>
    <w:p w14:paraId="376AE14E">
      <w:pPr>
        <w:tabs>
          <w:tab w:val="left" w:pos="7230"/>
        </w:tabs>
        <w:spacing w:line="360" w:lineRule="atLeast"/>
        <w:rPr>
          <w:sz w:val="28"/>
          <w:szCs w:val="28"/>
          <w:lang w:val="uk-UA"/>
        </w:rPr>
      </w:pPr>
      <w:r>
        <w:rPr>
          <w:sz w:val="28"/>
          <w:szCs w:val="28"/>
          <w:lang w:val="uk-UA"/>
        </w:rPr>
        <w:t>Начальник  відділу бухгалтерського                          Наталія КОТОК</w:t>
      </w:r>
      <w:r>
        <w:rPr>
          <w:rFonts w:ascii="Arial" w:hAnsi="Arial" w:cs="Arial"/>
          <w:lang w:val="uk-UA"/>
        </w:rPr>
        <w:t xml:space="preserve"> </w:t>
      </w:r>
    </w:p>
    <w:p w14:paraId="729E30ED">
      <w:pPr>
        <w:spacing w:line="360" w:lineRule="atLeast"/>
        <w:rPr>
          <w:sz w:val="28"/>
          <w:szCs w:val="28"/>
          <w:lang w:val="uk-UA"/>
        </w:rPr>
      </w:pPr>
      <w:r>
        <w:rPr>
          <w:sz w:val="28"/>
          <w:szCs w:val="28"/>
          <w:lang w:val="uk-UA"/>
        </w:rPr>
        <w:t xml:space="preserve">обліку, звітності та господарської діяльності </w:t>
      </w:r>
    </w:p>
    <w:p w14:paraId="41D866B3">
      <w:pPr>
        <w:spacing w:line="360" w:lineRule="atLeast"/>
        <w:rPr>
          <w:sz w:val="28"/>
          <w:szCs w:val="28"/>
          <w:lang w:val="uk-UA"/>
        </w:rPr>
      </w:pPr>
      <w:r>
        <w:rPr>
          <w:sz w:val="28"/>
          <w:szCs w:val="28"/>
          <w:lang w:val="uk-UA"/>
        </w:rPr>
        <w:t>апарату Попівської сільської ради</w:t>
      </w:r>
    </w:p>
    <w:p w14:paraId="29C28941">
      <w:pPr>
        <w:tabs>
          <w:tab w:val="left" w:pos="7290"/>
        </w:tabs>
        <w:spacing w:line="360" w:lineRule="atLeast"/>
        <w:rPr>
          <w:color w:val="000000" w:themeColor="text1"/>
          <w:sz w:val="28"/>
          <w:szCs w:val="28"/>
          <w:lang w:val="uk-UA"/>
          <w14:textFill>
            <w14:solidFill>
              <w14:schemeClr w14:val="tx1"/>
            </w14:solidFill>
          </w14:textFill>
        </w:rPr>
      </w:pPr>
    </w:p>
    <w:p w14:paraId="1005A78B">
      <w:pPr>
        <w:tabs>
          <w:tab w:val="left" w:pos="7290"/>
        </w:tabs>
        <w:spacing w:line="360" w:lineRule="atLeast"/>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Заступник начальника відділу    земельного             Наталія ФЕСЕНКО</w:t>
      </w:r>
    </w:p>
    <w:p w14:paraId="52531D27">
      <w:pPr>
        <w:spacing w:line="360" w:lineRule="atLeast"/>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ресурсів та екології Попівської  сільської ради</w:t>
      </w:r>
      <w:r>
        <w:rPr>
          <w:color w:val="000000" w:themeColor="text1"/>
          <w:sz w:val="28"/>
          <w:szCs w:val="28"/>
          <w14:textFill>
            <w14:solidFill>
              <w14:schemeClr w14:val="tx1"/>
            </w14:solidFill>
          </w14:textFill>
        </w:rPr>
        <w:t> </w:t>
      </w:r>
    </w:p>
    <w:p w14:paraId="7AD5DF56">
      <w:pPr>
        <w:jc w:val="both"/>
        <w:rPr>
          <w:sz w:val="28"/>
          <w:lang w:val="uk-UA"/>
        </w:rPr>
      </w:pPr>
    </w:p>
    <w:p w14:paraId="32592CDA">
      <w:pPr>
        <w:jc w:val="both"/>
        <w:rPr>
          <w:sz w:val="28"/>
          <w:lang w:val="uk-UA"/>
        </w:rPr>
      </w:pPr>
    </w:p>
    <w:p w14:paraId="1BB15CCA">
      <w:pPr>
        <w:jc w:val="both"/>
        <w:rPr>
          <w:sz w:val="28"/>
          <w:lang w:val="uk-UA"/>
        </w:rPr>
      </w:pPr>
      <w:r>
        <w:rPr>
          <w:sz w:val="28"/>
          <w:lang w:val="uk-UA"/>
        </w:rPr>
        <w:t xml:space="preserve">Головний спеціаліст відділу </w:t>
      </w:r>
    </w:p>
    <w:p w14:paraId="5933000B">
      <w:pPr>
        <w:jc w:val="both"/>
        <w:rPr>
          <w:sz w:val="28"/>
          <w:lang w:val="uk-UA"/>
        </w:rPr>
      </w:pPr>
      <w:r>
        <w:rPr>
          <w:sz w:val="28"/>
          <w:lang w:val="uk-UA"/>
        </w:rPr>
        <w:t xml:space="preserve">житлово-комунального </w:t>
      </w:r>
    </w:p>
    <w:p w14:paraId="7143811A">
      <w:pPr>
        <w:jc w:val="both"/>
        <w:rPr>
          <w:sz w:val="28"/>
          <w:szCs w:val="28"/>
          <w:lang w:val="uk-UA"/>
        </w:rPr>
      </w:pPr>
      <w:r>
        <w:rPr>
          <w:sz w:val="28"/>
          <w:lang w:val="uk-UA"/>
        </w:rPr>
        <w:t xml:space="preserve">господарства, </w:t>
      </w:r>
      <w:r>
        <w:rPr>
          <w:sz w:val="28"/>
          <w:szCs w:val="28"/>
          <w:lang w:val="uk-UA"/>
        </w:rPr>
        <w:t xml:space="preserve">архітектури, будівництва, </w:t>
      </w:r>
    </w:p>
    <w:p w14:paraId="6E74CD91">
      <w:pPr>
        <w:jc w:val="both"/>
        <w:rPr>
          <w:sz w:val="28"/>
          <w:szCs w:val="28"/>
          <w:lang w:val="uk-UA"/>
        </w:rPr>
      </w:pPr>
      <w:r>
        <w:rPr>
          <w:sz w:val="28"/>
          <w:szCs w:val="28"/>
          <w:lang w:val="uk-UA"/>
        </w:rPr>
        <w:t>транспорту та комунальної власності</w:t>
      </w:r>
    </w:p>
    <w:p w14:paraId="4CF95D42">
      <w:pPr>
        <w:jc w:val="both"/>
        <w:rPr>
          <w:sz w:val="28"/>
          <w:lang w:val="uk-UA"/>
        </w:rPr>
      </w:pPr>
      <w:r>
        <w:rPr>
          <w:color w:val="000000" w:themeColor="text1"/>
          <w:sz w:val="28"/>
          <w:szCs w:val="28"/>
          <w:lang w:val="uk-UA"/>
          <w14:textFill>
            <w14:solidFill>
              <w14:schemeClr w14:val="tx1"/>
            </w14:solidFill>
          </w14:textFill>
        </w:rPr>
        <w:t>Попівської  сільської ради</w:t>
      </w:r>
      <w:r>
        <w:rPr>
          <w:color w:val="000000" w:themeColor="text1"/>
          <w:sz w:val="28"/>
          <w:szCs w:val="28"/>
          <w14:textFill>
            <w14:solidFill>
              <w14:schemeClr w14:val="tx1"/>
            </w14:solidFill>
          </w14:textFill>
        </w:rPr>
        <w:t> </w:t>
      </w:r>
      <w:r>
        <w:rPr>
          <w:color w:val="000000" w:themeColor="text1"/>
          <w:sz w:val="28"/>
          <w:szCs w:val="28"/>
          <w:lang w:val="uk-UA"/>
          <w14:textFill>
            <w14:solidFill>
              <w14:schemeClr w14:val="tx1"/>
            </w14:solidFill>
          </w14:textFill>
        </w:rPr>
        <w:t xml:space="preserve">                                      Наталія СИЗОН</w:t>
      </w:r>
    </w:p>
    <w:p w14:paraId="3B04258A">
      <w:pPr>
        <w:ind w:left="7088"/>
        <w:jc w:val="both"/>
        <w:rPr>
          <w:color w:val="000000"/>
          <w:sz w:val="28"/>
          <w:szCs w:val="24"/>
          <w:lang w:val="uk-UA" w:eastAsia="uk-UA"/>
        </w:rPr>
      </w:pPr>
    </w:p>
    <w:p w14:paraId="16560842">
      <w:pPr>
        <w:ind w:left="7088"/>
        <w:jc w:val="both"/>
        <w:rPr>
          <w:color w:val="000000"/>
          <w:sz w:val="24"/>
          <w:szCs w:val="24"/>
          <w:lang w:val="uk-UA" w:eastAsia="uk-UA"/>
        </w:rPr>
      </w:pPr>
    </w:p>
    <w:p w14:paraId="2B227C8D">
      <w:pPr>
        <w:rPr>
          <w:rFonts w:eastAsia="Calibri"/>
          <w:b/>
          <w:sz w:val="28"/>
          <w:szCs w:val="28"/>
          <w:lang w:val="uk-UA" w:eastAsia="en-US"/>
        </w:rPr>
      </w:pPr>
      <w:r>
        <w:rPr>
          <w:rFonts w:eastAsia="Calibri"/>
          <w:b/>
          <w:sz w:val="28"/>
          <w:szCs w:val="28"/>
          <w:lang w:val="uk-UA" w:eastAsia="en-US"/>
        </w:rPr>
        <w:t>Секретар ради                                                          Валентина МАЛІГОН</w:t>
      </w:r>
    </w:p>
    <w:p w14:paraId="2E95BD60">
      <w:pPr>
        <w:jc w:val="both"/>
        <w:rPr>
          <w:color w:val="000000"/>
          <w:sz w:val="24"/>
          <w:szCs w:val="24"/>
          <w:lang w:val="uk-UA" w:eastAsia="uk-UA"/>
        </w:rPr>
      </w:pPr>
    </w:p>
    <w:p w14:paraId="1AB62318">
      <w:pPr>
        <w:ind w:left="7088"/>
        <w:jc w:val="both"/>
        <w:rPr>
          <w:color w:val="000000"/>
          <w:sz w:val="28"/>
          <w:lang w:val="uk-UA" w:eastAsia="uk-UA"/>
        </w:rPr>
      </w:pPr>
    </w:p>
    <w:p w14:paraId="02D20445">
      <w:pPr>
        <w:ind w:left="7088"/>
        <w:jc w:val="both"/>
        <w:rPr>
          <w:color w:val="000000"/>
          <w:sz w:val="28"/>
          <w:lang w:val="uk-UA" w:eastAsia="uk-UA"/>
        </w:rPr>
      </w:pPr>
    </w:p>
    <w:p w14:paraId="272893B9">
      <w:pPr>
        <w:ind w:left="7088"/>
        <w:jc w:val="both"/>
        <w:rPr>
          <w:color w:val="000000"/>
          <w:sz w:val="28"/>
          <w:lang w:val="uk-UA" w:eastAsia="uk-UA"/>
        </w:rPr>
      </w:pPr>
    </w:p>
    <w:p w14:paraId="7FA497D8">
      <w:pPr>
        <w:ind w:left="7088"/>
        <w:jc w:val="both"/>
        <w:rPr>
          <w:color w:val="000000"/>
          <w:sz w:val="28"/>
          <w:lang w:val="uk-UA" w:eastAsia="uk-UA"/>
        </w:rPr>
      </w:pPr>
    </w:p>
    <w:p w14:paraId="5D211BC1">
      <w:pPr>
        <w:ind w:left="7088"/>
        <w:jc w:val="both"/>
        <w:rPr>
          <w:color w:val="000000"/>
          <w:sz w:val="28"/>
          <w:lang w:val="uk-UA" w:eastAsia="uk-UA"/>
        </w:rPr>
      </w:pPr>
      <w:bookmarkStart w:id="3" w:name="_GoBack"/>
      <w:bookmarkEnd w:id="3"/>
    </w:p>
    <w:sectPr>
      <w:headerReference r:id="rId6" w:type="default"/>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A84A">
    <w:pPr>
      <w:pStyle w:val="6"/>
    </w:pPr>
  </w:p>
  <w:p w14:paraId="1FE0361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14C5">
    <w:pPr>
      <w:pStyle w:val="6"/>
      <w:jc w:val="center"/>
    </w:pPr>
  </w:p>
  <w:p w14:paraId="05C05F8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05"/>
    <w:rsid w:val="00012EB9"/>
    <w:rsid w:val="00037A2F"/>
    <w:rsid w:val="000724DD"/>
    <w:rsid w:val="00092A2B"/>
    <w:rsid w:val="000C4FF2"/>
    <w:rsid w:val="000D4DBB"/>
    <w:rsid w:val="000F44B5"/>
    <w:rsid w:val="00124DBD"/>
    <w:rsid w:val="00155628"/>
    <w:rsid w:val="00156BFB"/>
    <w:rsid w:val="001A0F56"/>
    <w:rsid w:val="001A56E3"/>
    <w:rsid w:val="001E5B60"/>
    <w:rsid w:val="00234196"/>
    <w:rsid w:val="002415AF"/>
    <w:rsid w:val="00256907"/>
    <w:rsid w:val="00266A37"/>
    <w:rsid w:val="00266E02"/>
    <w:rsid w:val="00272FB8"/>
    <w:rsid w:val="00273174"/>
    <w:rsid w:val="00273BC2"/>
    <w:rsid w:val="002A5CFC"/>
    <w:rsid w:val="002A60C1"/>
    <w:rsid w:val="002C297F"/>
    <w:rsid w:val="002E0E3A"/>
    <w:rsid w:val="002E27D8"/>
    <w:rsid w:val="00302AC1"/>
    <w:rsid w:val="003076B5"/>
    <w:rsid w:val="00320D35"/>
    <w:rsid w:val="00337E79"/>
    <w:rsid w:val="00395C5A"/>
    <w:rsid w:val="0039611C"/>
    <w:rsid w:val="003A1EF0"/>
    <w:rsid w:val="003D278C"/>
    <w:rsid w:val="00415888"/>
    <w:rsid w:val="004265DD"/>
    <w:rsid w:val="00466BA5"/>
    <w:rsid w:val="004707D8"/>
    <w:rsid w:val="004B76FC"/>
    <w:rsid w:val="00531025"/>
    <w:rsid w:val="0053105C"/>
    <w:rsid w:val="0054645E"/>
    <w:rsid w:val="005801E5"/>
    <w:rsid w:val="00591FA2"/>
    <w:rsid w:val="005A3B9E"/>
    <w:rsid w:val="005C7601"/>
    <w:rsid w:val="005D0DB0"/>
    <w:rsid w:val="00674EAF"/>
    <w:rsid w:val="0068523E"/>
    <w:rsid w:val="006925F5"/>
    <w:rsid w:val="006A6F15"/>
    <w:rsid w:val="006C038A"/>
    <w:rsid w:val="006E6879"/>
    <w:rsid w:val="00774890"/>
    <w:rsid w:val="00774B57"/>
    <w:rsid w:val="007B6E7A"/>
    <w:rsid w:val="007E0751"/>
    <w:rsid w:val="007E1804"/>
    <w:rsid w:val="007F46CD"/>
    <w:rsid w:val="00815775"/>
    <w:rsid w:val="00842F44"/>
    <w:rsid w:val="00872589"/>
    <w:rsid w:val="008763C8"/>
    <w:rsid w:val="008B46E8"/>
    <w:rsid w:val="00900FA1"/>
    <w:rsid w:val="0091184A"/>
    <w:rsid w:val="00921088"/>
    <w:rsid w:val="009414F7"/>
    <w:rsid w:val="00943773"/>
    <w:rsid w:val="009565A4"/>
    <w:rsid w:val="009D40F2"/>
    <w:rsid w:val="009E600C"/>
    <w:rsid w:val="00A259CD"/>
    <w:rsid w:val="00A627BB"/>
    <w:rsid w:val="00A630A5"/>
    <w:rsid w:val="00AA42B7"/>
    <w:rsid w:val="00AF5230"/>
    <w:rsid w:val="00AF624B"/>
    <w:rsid w:val="00B403BA"/>
    <w:rsid w:val="00B574F7"/>
    <w:rsid w:val="00B80FFF"/>
    <w:rsid w:val="00B94308"/>
    <w:rsid w:val="00BE4732"/>
    <w:rsid w:val="00C073AF"/>
    <w:rsid w:val="00C34EF0"/>
    <w:rsid w:val="00C448CD"/>
    <w:rsid w:val="00C50905"/>
    <w:rsid w:val="00C76E23"/>
    <w:rsid w:val="00C8759B"/>
    <w:rsid w:val="00C92661"/>
    <w:rsid w:val="00D04258"/>
    <w:rsid w:val="00D3457B"/>
    <w:rsid w:val="00D462B7"/>
    <w:rsid w:val="00D84BFD"/>
    <w:rsid w:val="00DA6E8E"/>
    <w:rsid w:val="00DB1866"/>
    <w:rsid w:val="00DC4859"/>
    <w:rsid w:val="00DC6111"/>
    <w:rsid w:val="00E14EAA"/>
    <w:rsid w:val="00E21CC6"/>
    <w:rsid w:val="00E316FD"/>
    <w:rsid w:val="00E3316B"/>
    <w:rsid w:val="00E528E7"/>
    <w:rsid w:val="00E5473B"/>
    <w:rsid w:val="00E74AB2"/>
    <w:rsid w:val="00E76B6D"/>
    <w:rsid w:val="00E806E6"/>
    <w:rsid w:val="00E9494F"/>
    <w:rsid w:val="00EB14B2"/>
    <w:rsid w:val="00EB3A49"/>
    <w:rsid w:val="00EC7391"/>
    <w:rsid w:val="00EF6C16"/>
    <w:rsid w:val="00F079CE"/>
    <w:rsid w:val="00F61705"/>
    <w:rsid w:val="00F831F6"/>
    <w:rsid w:val="00FA291D"/>
    <w:rsid w:val="00FB4435"/>
    <w:rsid w:val="00FB66C2"/>
    <w:rsid w:val="22F128B4"/>
    <w:rsid w:val="73133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4"/>
    <w:semiHidden/>
    <w:unhideWhenUsed/>
    <w:qFormat/>
    <w:uiPriority w:val="99"/>
    <w:rPr>
      <w:rFonts w:ascii="Segoe UI" w:hAnsi="Segoe UI" w:cs="Segoe UI"/>
      <w:sz w:val="18"/>
      <w:szCs w:val="18"/>
    </w:rPr>
  </w:style>
  <w:style w:type="paragraph" w:styleId="6">
    <w:name w:val="header"/>
    <w:basedOn w:val="1"/>
    <w:link w:val="10"/>
    <w:unhideWhenUsed/>
    <w:qFormat/>
    <w:uiPriority w:val="99"/>
    <w:pPr>
      <w:tabs>
        <w:tab w:val="center" w:pos="4677"/>
        <w:tab w:val="right" w:pos="9355"/>
      </w:tabs>
    </w:pPr>
    <w:rPr>
      <w:rFonts w:asciiTheme="minorHAnsi" w:hAnsiTheme="minorHAnsi" w:eastAsiaTheme="minorHAnsi" w:cstheme="minorBidi"/>
      <w:sz w:val="22"/>
      <w:szCs w:val="22"/>
      <w:lang w:eastAsia="en-US"/>
    </w:rPr>
  </w:style>
  <w:style w:type="paragraph" w:styleId="7">
    <w:name w:val="footer"/>
    <w:basedOn w:val="1"/>
    <w:link w:val="13"/>
    <w:unhideWhenUsed/>
    <w:qFormat/>
    <w:uiPriority w:val="99"/>
    <w:pPr>
      <w:tabs>
        <w:tab w:val="center" w:pos="4677"/>
        <w:tab w:val="right" w:pos="9355"/>
      </w:tabs>
    </w:pPr>
  </w:style>
  <w:style w:type="table" w:styleId="8">
    <w:name w:val="Table Grid"/>
    <w:basedOn w:val="3"/>
    <w:uiPriority w:val="59"/>
    <w:pPr>
      <w:spacing w:after="0" w:line="240" w:lineRule="auto"/>
    </w:pPr>
    <w:rPr>
      <w:rFonts w:eastAsiaTheme="minorHAnsi"/>
      <w:sz w:val="20"/>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Верхний колонтитул Знак"/>
    <w:basedOn w:val="2"/>
    <w:link w:val="6"/>
    <w:qFormat/>
    <w:uiPriority w:val="99"/>
    <w:rPr>
      <w:rFonts w:eastAsiaTheme="minorHAnsi"/>
      <w:lang w:val="ru-RU"/>
    </w:rPr>
  </w:style>
  <w:style w:type="table" w:customStyle="1" w:styleId="11">
    <w:name w:val="Сетка таблицы1"/>
    <w:basedOn w:val="3"/>
    <w:qFormat/>
    <w:uiPriority w:val="59"/>
    <w:pPr>
      <w:spacing w:after="0" w:line="240" w:lineRule="auto"/>
    </w:pPr>
    <w:rPr>
      <w:rFonts w:eastAsiaTheme="minorHAnsi"/>
      <w:sz w:val="20"/>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2"/>
    <w:basedOn w:val="3"/>
    <w:qFormat/>
    <w:uiPriority w:val="59"/>
    <w:pPr>
      <w:spacing w:after="0" w:line="240" w:lineRule="auto"/>
    </w:pPr>
    <w:rPr>
      <w:rFonts w:eastAsiaTheme="minorHAnsi"/>
      <w:sz w:val="20"/>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Нижний колонтитул Знак"/>
    <w:basedOn w:val="2"/>
    <w:link w:val="7"/>
    <w:qFormat/>
    <w:uiPriority w:val="99"/>
    <w:rPr>
      <w:rFonts w:ascii="Times New Roman" w:hAnsi="Times New Roman" w:eastAsia="Times New Roman" w:cs="Times New Roman"/>
      <w:sz w:val="20"/>
      <w:szCs w:val="20"/>
      <w:lang w:val="ru-RU" w:eastAsia="ru-RU"/>
    </w:rPr>
  </w:style>
  <w:style w:type="character" w:customStyle="1" w:styleId="14">
    <w:name w:val="Текст выноски Знак"/>
    <w:basedOn w:val="2"/>
    <w:link w:val="5"/>
    <w:semiHidden/>
    <w:qFormat/>
    <w:uiPriority w:val="99"/>
    <w:rPr>
      <w:rFonts w:ascii="Segoe UI" w:hAnsi="Segoe UI" w:eastAsia="Times New Roman" w:cs="Segoe UI"/>
      <w:sz w:val="18"/>
      <w:szCs w:val="18"/>
      <w:lang w:val="ru-RU" w:eastAsia="ru-RU"/>
    </w:rPr>
  </w:style>
  <w:style w:type="paragraph" w:customStyle="1" w:styleId="15">
    <w:name w:val="news_p"/>
    <w:basedOn w:val="1"/>
    <w:qFormat/>
    <w:uiPriority w:val="0"/>
    <w:pPr>
      <w:spacing w:before="280" w:after="280"/>
    </w:pPr>
    <w:rPr>
      <w:rFonts w:eastAsia="Calibri"/>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F6D4-2205-411D-A3AE-C765975AA2F4}">
  <ds:schemaRefs/>
</ds:datastoreItem>
</file>

<file path=docProps/app.xml><?xml version="1.0" encoding="utf-8"?>
<Properties xmlns="http://schemas.openxmlformats.org/officeDocument/2006/extended-properties" xmlns:vt="http://schemas.openxmlformats.org/officeDocument/2006/docPropsVTypes">
  <Template>Normal</Template>
  <Pages>18</Pages>
  <Words>23101</Words>
  <Characters>13168</Characters>
  <Lines>109</Lines>
  <Paragraphs>72</Paragraphs>
  <TotalTime>737</TotalTime>
  <ScaleCrop>false</ScaleCrop>
  <LinksUpToDate>false</LinksUpToDate>
  <CharactersWithSpaces>36197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2021-09-16T13:42:00Z</dcterms:created>
  <dc:creator>Admin</dc:creator>
  <cp:lastModifiedBy>Галина Шкареда</cp:lastModifiedBy>
  <cp:lastPrinted>2025-09-25T06:24:00Z</cp:lastPrinted>
  <dcterms:modified xsi:type="dcterms:W3CDTF">2025-10-08T06:12:32Z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9AA43543054B48CA9A96694DB76F1C62_13</vt:lpwstr>
  </property>
</Properties>
</file>