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119</w:t>
      </w:r>
    </w:p>
    <w:p w14:paraId="74792AD7">
      <w:pPr>
        <w:rPr>
          <w:sz w:val="28"/>
          <w:szCs w:val="28"/>
        </w:rPr>
      </w:pPr>
    </w:p>
    <w:p w14:paraId="676D6ADF">
      <w:pPr>
        <w:rPr>
          <w:b/>
          <w:sz w:val="28"/>
          <w:szCs w:val="28"/>
        </w:rPr>
      </w:pPr>
      <w:r>
        <w:rPr>
          <w:b/>
          <w:sz w:val="28"/>
          <w:szCs w:val="28"/>
        </w:rPr>
        <w:t>14.04.2025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BD305E3">
      <w:pPr>
        <w:textAlignment w:val="baseline"/>
        <w:rPr>
          <w:b/>
          <w:sz w:val="28"/>
          <w:szCs w:val="28"/>
        </w:rPr>
      </w:pPr>
      <w:bookmarkStart w:id="0" w:name="_Hlk188288395"/>
      <w:r>
        <w:rPr>
          <w:b/>
          <w:sz w:val="28"/>
          <w:szCs w:val="28"/>
        </w:rPr>
        <w:t xml:space="preserve">Про затвердження рішення комісії </w:t>
      </w:r>
    </w:p>
    <w:p w14:paraId="2CD93744">
      <w:pPr>
        <w:textAlignment w:val="baseline"/>
        <w:rPr>
          <w:b/>
          <w:sz w:val="28"/>
          <w:szCs w:val="28"/>
        </w:rPr>
      </w:pPr>
      <w:r>
        <w:rPr>
          <w:b/>
          <w:sz w:val="28"/>
          <w:szCs w:val="28"/>
        </w:rPr>
        <w:t xml:space="preserve">щодо надання компенсації </w:t>
      </w:r>
    </w:p>
    <w:p w14:paraId="2429F476">
      <w:pPr>
        <w:textAlignment w:val="baseline"/>
        <w:rPr>
          <w:b/>
          <w:sz w:val="28"/>
          <w:szCs w:val="28"/>
        </w:rPr>
      </w:pPr>
      <w:r>
        <w:rPr>
          <w:b/>
          <w:sz w:val="28"/>
          <w:szCs w:val="28"/>
        </w:rPr>
        <w:t xml:space="preserve">за знищений об’єкт </w:t>
      </w:r>
    </w:p>
    <w:bookmarkEnd w:id="0"/>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w:t>
      </w:r>
      <w:r>
        <w:t xml:space="preserve"> </w:t>
      </w:r>
      <w:r>
        <w:rPr>
          <w:bCs/>
          <w:szCs w:val="28"/>
          <w:lang w:eastAsia="uk-UA"/>
        </w:rPr>
        <w:t xml:space="preserve">пунктів 1,7 статті 6, пункту 5 статті 8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(зі змінами) </w:t>
      </w:r>
      <w:r>
        <w:rPr>
          <w:szCs w:val="28"/>
        </w:rPr>
        <w:t>№2923-ІХ від 23.02.2023</w:t>
      </w:r>
      <w:r>
        <w:rPr>
          <w:bCs/>
          <w:szCs w:val="28"/>
          <w:lang w:eastAsia="uk-UA"/>
        </w:rPr>
        <w:t xml:space="preserve">, </w:t>
      </w:r>
      <w:r>
        <w:rPr>
          <w:szCs w:val="28"/>
        </w:rPr>
        <w:t>абзацу 1 пункту 17 П</w:t>
      </w:r>
      <w:r>
        <w:rPr>
          <w:bCs/>
          <w:szCs w:val="28"/>
        </w:rPr>
        <w:t>орядку надання компенсації за знищені об’єкти нерухомого майна, затвердженого Постановою Кабінету Міністрів України №600 від 30.05.2023</w:t>
      </w:r>
      <w:r>
        <w:rPr>
          <w:bCs/>
          <w:szCs w:val="28"/>
          <w:lang w:eastAsia="uk-UA"/>
        </w:rPr>
        <w:t>, керуючись Положенням про роботу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r>
        <w:rPr>
          <w:szCs w:val="28"/>
        </w:rPr>
        <w:t>, затвердженим рішенням виконавчого комітету Попівської сільської ради №182 від 26.07.2023, протоколом засідання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№3 від 11.04.2025, актом комісійного обстеження нерухомого майна, знищеного внаслідок бойових дій, терористичних актів, диверсій, спричинених збройною агресією Російської Федерації №2 від 11.04.2025,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484E97D2">
      <w:pPr>
        <w:pStyle w:val="7"/>
        <w:numPr>
          <w:ilvl w:val="0"/>
          <w:numId w:val="1"/>
        </w:numPr>
        <w:tabs>
          <w:tab w:val="left" w:pos="567"/>
          <w:tab w:val="left" w:pos="993"/>
          <w:tab w:val="clear" w:pos="2130"/>
        </w:tabs>
        <w:ind w:left="0" w:firstLine="567"/>
        <w:jc w:val="both"/>
        <w:rPr>
          <w:szCs w:val="28"/>
        </w:rPr>
      </w:pPr>
      <w:r>
        <w:rPr>
          <w:szCs w:val="28"/>
        </w:rPr>
        <w:t xml:space="preserve">Затвердити рішення комісії щодо надання компенсації за знищений об’єкт нерухомого майна (додається), який перебуває у спільній власності двох отримувачів компенсації, пропорційно до розміру частки, яка належить відповідному співвласнику згідно із електронною заявою ЗВ-02.04.2025-183830 від 02.04.2025, а саме: </w:t>
      </w:r>
    </w:p>
    <w:p w14:paraId="52589DB1">
      <w:pPr>
        <w:pStyle w:val="7"/>
        <w:tabs>
          <w:tab w:val="left" w:pos="851"/>
          <w:tab w:val="left" w:pos="993"/>
          <w:tab w:val="clear" w:pos="2130"/>
        </w:tabs>
        <w:ind w:firstLine="567"/>
        <w:jc w:val="both"/>
        <w:rPr>
          <w:szCs w:val="28"/>
        </w:rPr>
      </w:pPr>
      <w:r>
        <w:rPr>
          <w:szCs w:val="28"/>
        </w:rPr>
        <w:t xml:space="preserve">- </w:t>
      </w:r>
      <w:r>
        <w:rPr>
          <w:rFonts w:hint="default"/>
          <w:szCs w:val="28"/>
          <w:lang w:val="uk-UA"/>
        </w:rPr>
        <w:t>----------</w:t>
      </w:r>
      <w:r>
        <w:rPr>
          <w:szCs w:val="28"/>
        </w:rPr>
        <w:t xml:space="preserve"> (ІПН </w:t>
      </w:r>
      <w:r>
        <w:rPr>
          <w:rFonts w:hint="default"/>
          <w:szCs w:val="28"/>
          <w:lang w:val="uk-UA"/>
        </w:rPr>
        <w:t>-----------</w:t>
      </w:r>
      <w:r>
        <w:rPr>
          <w:szCs w:val="28"/>
        </w:rPr>
        <w:t xml:space="preserve">) надати компенсацію за знищений об’єкт у розмірі  ½ від загального розрахунку відповідно до його частки майна у сумі 546 848,70 грн. (п’ятсот сорок шість тисяч вісімсот сорок вісім гривень, сімдесят копійок)  </w:t>
      </w:r>
    </w:p>
    <w:p w14:paraId="097DC056">
      <w:pPr>
        <w:pStyle w:val="7"/>
        <w:tabs>
          <w:tab w:val="left" w:pos="851"/>
          <w:tab w:val="left" w:pos="993"/>
          <w:tab w:val="clear" w:pos="2130"/>
        </w:tabs>
        <w:ind w:firstLine="567"/>
        <w:jc w:val="both"/>
        <w:rPr>
          <w:szCs w:val="28"/>
        </w:rPr>
      </w:pPr>
      <w:r>
        <w:rPr>
          <w:szCs w:val="28"/>
        </w:rPr>
        <w:t xml:space="preserve">- </w:t>
      </w:r>
      <w:r>
        <w:rPr>
          <w:rFonts w:hint="default"/>
          <w:szCs w:val="28"/>
          <w:lang w:val="uk-UA"/>
        </w:rPr>
        <w:t>-----------</w:t>
      </w:r>
      <w:r>
        <w:rPr>
          <w:szCs w:val="28"/>
        </w:rPr>
        <w:t xml:space="preserve"> (ІПН </w:t>
      </w:r>
      <w:r>
        <w:rPr>
          <w:rFonts w:hint="default"/>
          <w:szCs w:val="28"/>
          <w:lang w:val="uk-UA"/>
        </w:rPr>
        <w:t>-------</w:t>
      </w:r>
      <w:r>
        <w:rPr>
          <w:szCs w:val="28"/>
        </w:rPr>
        <w:t xml:space="preserve">) надати компенсацію за знищений об’єкт у розмірі  ½ від загального розрахунку відповідно до його частки майна у сумі 546 848,70 грн. (п’ятсот сорок шість тисяч вісімсот сорок вісім гривень, сімдесят копійок)  </w:t>
      </w:r>
    </w:p>
    <w:p w14:paraId="792221D7">
      <w:pPr>
        <w:pStyle w:val="7"/>
        <w:tabs>
          <w:tab w:val="left" w:pos="851"/>
          <w:tab w:val="left" w:pos="993"/>
          <w:tab w:val="clear" w:pos="2130"/>
        </w:tabs>
        <w:ind w:firstLine="567"/>
        <w:jc w:val="both"/>
        <w:rPr>
          <w:szCs w:val="28"/>
        </w:rPr>
      </w:pPr>
      <w:r>
        <w:rPr>
          <w:szCs w:val="28"/>
        </w:rPr>
        <w:t>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tabs>
          <w:tab w:val="left" w:pos="993"/>
        </w:tabs>
        <w:ind w:firstLine="567"/>
        <w:jc w:val="both"/>
        <w:rPr>
          <w:sz w:val="28"/>
          <w:szCs w:val="28"/>
        </w:rPr>
      </w:pPr>
      <w:r>
        <w:rPr>
          <w:sz w:val="28"/>
          <w:szCs w:val="28"/>
        </w:rPr>
        <w:t>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tabs>
          <w:tab w:val="left" w:pos="993"/>
          <w:tab w:val="clear" w:pos="2130"/>
        </w:tabs>
        <w:ind w:firstLine="56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bookmarkStart w:id="1" w:name="_GoBack"/>
      <w:bookmarkEnd w:id="1"/>
    </w:p>
    <w:p w14:paraId="016B31A7">
      <w:pPr>
        <w:jc w:val="both"/>
        <w:textAlignment w:val="baseline"/>
      </w:pPr>
    </w:p>
    <w:p w14:paraId="085C87E6">
      <w:pPr>
        <w:jc w:val="both"/>
        <w:textAlignment w:val="baseline"/>
      </w:pPr>
    </w:p>
    <w:p w14:paraId="60D626D2">
      <w:pPr>
        <w:jc w:val="both"/>
        <w:textAlignment w:val="baseline"/>
      </w:pPr>
    </w:p>
    <w:p w14:paraId="065351EE">
      <w:pPr>
        <w:jc w:val="both"/>
        <w:textAlignment w:val="baseline"/>
      </w:pPr>
    </w:p>
    <w:p w14:paraId="12E209B3">
      <w:pPr>
        <w:jc w:val="both"/>
        <w:textAlignment w:val="baseline"/>
      </w:pPr>
    </w:p>
    <w:p w14:paraId="419D841D">
      <w:pPr>
        <w:jc w:val="both"/>
        <w:textAlignment w:val="baseline"/>
      </w:pPr>
    </w:p>
    <w:p w14:paraId="47CA6F5A">
      <w:pPr>
        <w:jc w:val="both"/>
        <w:textAlignment w:val="baseline"/>
      </w:pPr>
    </w:p>
    <w:p w14:paraId="7D2FF766">
      <w:pPr>
        <w:jc w:val="both"/>
        <w:textAlignment w:val="baseline"/>
      </w:pPr>
    </w:p>
    <w:p w14:paraId="129C2856">
      <w:pPr>
        <w:jc w:val="both"/>
        <w:textAlignment w:val="baseline"/>
      </w:pPr>
    </w:p>
    <w:p w14:paraId="0BC4258A">
      <w:pPr>
        <w:jc w:val="both"/>
        <w:textAlignment w:val="baseline"/>
      </w:pPr>
    </w:p>
    <w:p w14:paraId="7EE0DEBE">
      <w:pPr>
        <w:jc w:val="both"/>
        <w:textAlignment w:val="baseline"/>
      </w:pPr>
    </w:p>
    <w:p w14:paraId="13CE2765"/>
    <w:p w14:paraId="66CA17A5">
      <w:r>
        <w:t>Тетяна МІЩЕНКО</w:t>
      </w:r>
    </w:p>
    <w:p w14:paraId="5D041D21">
      <w:pPr>
        <w:rPr>
          <w:shd w:val="clear" w:color="auto" w:fill="FFFFFF"/>
        </w:rPr>
      </w:pPr>
    </w:p>
    <w:p w14:paraId="71F9F97E">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849" w:bottom="568"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E7A8C"/>
    <w:multiLevelType w:val="multilevel"/>
    <w:tmpl w:val="64CE7A8C"/>
    <w:lvl w:ilvl="0" w:tentative="0">
      <w:start w:val="1"/>
      <w:numFmt w:val="decimal"/>
      <w:lvlText w:val="%1."/>
      <w:lvlJc w:val="left"/>
      <w:pPr>
        <w:ind w:left="1035" w:hanging="360"/>
      </w:pPr>
      <w:rPr>
        <w:rFonts w:hint="default"/>
      </w:rPr>
    </w:lvl>
    <w:lvl w:ilvl="1" w:tentative="0">
      <w:start w:val="1"/>
      <w:numFmt w:val="lowerLetter"/>
      <w:lvlText w:val="%2."/>
      <w:lvlJc w:val="left"/>
      <w:pPr>
        <w:ind w:left="1755" w:hanging="360"/>
      </w:pPr>
    </w:lvl>
    <w:lvl w:ilvl="2" w:tentative="0">
      <w:start w:val="1"/>
      <w:numFmt w:val="lowerRoman"/>
      <w:lvlText w:val="%3."/>
      <w:lvlJc w:val="right"/>
      <w:pPr>
        <w:ind w:left="2475" w:hanging="180"/>
      </w:pPr>
    </w:lvl>
    <w:lvl w:ilvl="3" w:tentative="0">
      <w:start w:val="1"/>
      <w:numFmt w:val="decimal"/>
      <w:lvlText w:val="%4."/>
      <w:lvlJc w:val="left"/>
      <w:pPr>
        <w:ind w:left="3195" w:hanging="360"/>
      </w:pPr>
    </w:lvl>
    <w:lvl w:ilvl="4" w:tentative="0">
      <w:start w:val="1"/>
      <w:numFmt w:val="lowerLetter"/>
      <w:lvlText w:val="%5."/>
      <w:lvlJc w:val="left"/>
      <w:pPr>
        <w:ind w:left="3915" w:hanging="360"/>
      </w:pPr>
    </w:lvl>
    <w:lvl w:ilvl="5" w:tentative="0">
      <w:start w:val="1"/>
      <w:numFmt w:val="lowerRoman"/>
      <w:lvlText w:val="%6."/>
      <w:lvlJc w:val="right"/>
      <w:pPr>
        <w:ind w:left="4635" w:hanging="180"/>
      </w:pPr>
    </w:lvl>
    <w:lvl w:ilvl="6" w:tentative="0">
      <w:start w:val="1"/>
      <w:numFmt w:val="decimal"/>
      <w:lvlText w:val="%7."/>
      <w:lvlJc w:val="left"/>
      <w:pPr>
        <w:ind w:left="5355" w:hanging="360"/>
      </w:pPr>
    </w:lvl>
    <w:lvl w:ilvl="7" w:tentative="0">
      <w:start w:val="1"/>
      <w:numFmt w:val="lowerLetter"/>
      <w:lvlText w:val="%8."/>
      <w:lvlJc w:val="left"/>
      <w:pPr>
        <w:ind w:left="6075" w:hanging="360"/>
      </w:pPr>
    </w:lvl>
    <w:lvl w:ilvl="8" w:tentative="0">
      <w:start w:val="1"/>
      <w:numFmt w:val="lowerRoman"/>
      <w:lvlText w:val="%9."/>
      <w:lvlJc w:val="right"/>
      <w:pPr>
        <w:ind w:left="67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61E7D"/>
    <w:rsid w:val="000B7BEB"/>
    <w:rsid w:val="000C4CB9"/>
    <w:rsid w:val="001167B3"/>
    <w:rsid w:val="00146C00"/>
    <w:rsid w:val="00156AB9"/>
    <w:rsid w:val="00196B00"/>
    <w:rsid w:val="00206332"/>
    <w:rsid w:val="002356EC"/>
    <w:rsid w:val="00252B66"/>
    <w:rsid w:val="00254E70"/>
    <w:rsid w:val="002B774C"/>
    <w:rsid w:val="003301D7"/>
    <w:rsid w:val="003B5470"/>
    <w:rsid w:val="004650FB"/>
    <w:rsid w:val="004658DA"/>
    <w:rsid w:val="004B6883"/>
    <w:rsid w:val="004D592B"/>
    <w:rsid w:val="005117F0"/>
    <w:rsid w:val="00593C99"/>
    <w:rsid w:val="005C5BBA"/>
    <w:rsid w:val="005E463D"/>
    <w:rsid w:val="00790443"/>
    <w:rsid w:val="007E0C80"/>
    <w:rsid w:val="00821B81"/>
    <w:rsid w:val="00872469"/>
    <w:rsid w:val="008C5925"/>
    <w:rsid w:val="009A169A"/>
    <w:rsid w:val="009C7C89"/>
    <w:rsid w:val="00A77FCC"/>
    <w:rsid w:val="00B93018"/>
    <w:rsid w:val="00BB3E84"/>
    <w:rsid w:val="00C03B42"/>
    <w:rsid w:val="00D2073B"/>
    <w:rsid w:val="00D62449"/>
    <w:rsid w:val="00D81F59"/>
    <w:rsid w:val="00E63B98"/>
    <w:rsid w:val="00E76B45"/>
    <w:rsid w:val="00E8712F"/>
    <w:rsid w:val="00F54C4A"/>
    <w:rsid w:val="00F76B5A"/>
    <w:rsid w:val="00FF09A8"/>
    <w:rsid w:val="16EC6330"/>
    <w:rsid w:val="34EF48AF"/>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2147</Words>
  <Characters>1225</Characters>
  <Lines>10</Lines>
  <Paragraphs>6</Paragraphs>
  <TotalTime>748</TotalTime>
  <ScaleCrop>false</ScaleCrop>
  <LinksUpToDate>false</LinksUpToDate>
  <CharactersWithSpaces>3366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2025-04-07T13:44:00Z</cp:lastPrinted>
  <dcterms:modified xsi:type="dcterms:W3CDTF">2025-04-22T11:51:51Z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9E3977B0D202420BB243DEFE1435D48F_12</vt:lpwstr>
  </property>
</Properties>
</file>