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BE0A2F">
      <w:pPr>
        <w:autoSpaceDE w:val="0"/>
        <w:autoSpaceDN w:val="0"/>
        <w:jc w:val="center"/>
        <w:rPr>
          <w:rFonts w:ascii="Peterburg" w:hAnsi="Peterburg"/>
          <w:b/>
        </w:rPr>
      </w:pPr>
    </w:p>
    <w:p w14:paraId="25BEAE3D">
      <w:pPr>
        <w:autoSpaceDE w:val="0"/>
        <w:autoSpaceDN w:val="0"/>
        <w:jc w:val="center"/>
        <w:rPr>
          <w:rFonts w:ascii="Peterburg" w:hAnsi="Peterburg"/>
          <w:b/>
        </w:rPr>
      </w:pPr>
    </w:p>
    <w:p w14:paraId="710D050B">
      <w:pPr>
        <w:autoSpaceDE w:val="0"/>
        <w:autoSpaceDN w:val="0"/>
        <w:jc w:val="center"/>
        <w:rPr>
          <w:rFonts w:ascii="Peterburg" w:hAnsi="Peterburg"/>
          <w:b/>
        </w:rPr>
      </w:pPr>
    </w:p>
    <w:p w14:paraId="41440C94">
      <w:pPr>
        <w:jc w:val="center"/>
        <w:rPr>
          <w:b/>
          <w:sz w:val="28"/>
          <w:szCs w:val="28"/>
          <w:lang w:val="ru-RU"/>
        </w:rPr>
      </w:pPr>
      <w:r>
        <w:rPr>
          <w:lang w:eastAsia="uk-UA"/>
        </w:rPr>
        <w:drawing>
          <wp:anchor distT="0" distB="0" distL="114300" distR="114300" simplePos="0" relativeHeight="251659264" behindDoc="1" locked="0" layoutInCell="1" allowOverlap="1">
            <wp:simplePos x="0" y="0"/>
            <wp:positionH relativeFrom="column">
              <wp:posOffset>2758440</wp:posOffset>
            </wp:positionH>
            <wp:positionV relativeFrom="paragraph">
              <wp:posOffset>-529590</wp:posOffset>
            </wp:positionV>
            <wp:extent cx="590550" cy="733425"/>
            <wp:effectExtent l="0" t="0" r="0" b="9525"/>
            <wp:wrapNone/>
            <wp:docPr id="2" name="Рисунок 2" descr="C:\MSOffice\Clipart\GERB.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C:\MSOffice\Clipart\GERB.BMP"/>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a:xfrm>
                      <a:off x="0" y="0"/>
                      <a:ext cx="590550" cy="733425"/>
                    </a:xfrm>
                    <a:prstGeom prst="rect">
                      <a:avLst/>
                    </a:prstGeom>
                    <a:noFill/>
                    <a:ln>
                      <a:noFill/>
                    </a:ln>
                  </pic:spPr>
                </pic:pic>
              </a:graphicData>
            </a:graphic>
          </wp:anchor>
        </w:drawing>
      </w:r>
      <w:r>
        <w:rPr>
          <w:rFonts w:ascii="Peterburg" w:hAnsi="Peterburg"/>
          <w:b/>
        </w:rPr>
        <w:t xml:space="preserve">  </w:t>
      </w:r>
      <w:r>
        <w:rPr>
          <w:b/>
          <w:sz w:val="28"/>
          <w:szCs w:val="28"/>
          <w:lang w:val="ru-RU"/>
        </w:rPr>
        <w:t xml:space="preserve">                                 </w:t>
      </w:r>
    </w:p>
    <w:p w14:paraId="3ECB031D">
      <w:pPr>
        <w:shd w:val="clear" w:color="auto" w:fill="FFFFFF"/>
        <w:jc w:val="center"/>
        <w:rPr>
          <w:rStyle w:val="4"/>
          <w:sz w:val="28"/>
          <w:szCs w:val="28"/>
        </w:rPr>
      </w:pPr>
      <w:r>
        <w:rPr>
          <w:rStyle w:val="4"/>
          <w:sz w:val="28"/>
          <w:szCs w:val="28"/>
        </w:rPr>
        <w:t>ВИКОНАВЧИЙ КОМІТЕТ</w:t>
      </w:r>
    </w:p>
    <w:p w14:paraId="65D85218">
      <w:pPr>
        <w:shd w:val="clear" w:color="auto" w:fill="FFFFFF"/>
        <w:jc w:val="center"/>
        <w:rPr>
          <w:rStyle w:val="4"/>
          <w:sz w:val="28"/>
          <w:szCs w:val="28"/>
        </w:rPr>
      </w:pPr>
      <w:r>
        <w:rPr>
          <w:rStyle w:val="4"/>
          <w:sz w:val="28"/>
          <w:szCs w:val="28"/>
        </w:rPr>
        <w:t>ПОПІВСЬКА СІЛЬСЬКА РАДА</w:t>
      </w:r>
    </w:p>
    <w:p w14:paraId="1899EF83">
      <w:pPr>
        <w:shd w:val="clear" w:color="auto" w:fill="FFFFFF"/>
        <w:jc w:val="center"/>
        <w:rPr>
          <w:rStyle w:val="4"/>
          <w:sz w:val="28"/>
          <w:szCs w:val="28"/>
        </w:rPr>
      </w:pPr>
      <w:r>
        <w:rPr>
          <w:rStyle w:val="4"/>
          <w:sz w:val="28"/>
          <w:szCs w:val="28"/>
        </w:rPr>
        <w:t>КОНОТОПСЬКОГО РАЙОНУ СУМСЬКОЇ ОБЛАСТІ</w:t>
      </w:r>
    </w:p>
    <w:p w14:paraId="649D2953">
      <w:pPr>
        <w:shd w:val="clear" w:color="auto" w:fill="FFFFFF"/>
        <w:jc w:val="center"/>
        <w:rPr>
          <w:rStyle w:val="4"/>
          <w:sz w:val="28"/>
          <w:szCs w:val="28"/>
        </w:rPr>
      </w:pPr>
      <w:r>
        <w:rPr>
          <w:rStyle w:val="4"/>
          <w:sz w:val="28"/>
          <w:szCs w:val="28"/>
        </w:rPr>
        <w:t xml:space="preserve"> </w:t>
      </w:r>
    </w:p>
    <w:p w14:paraId="163DEE1C">
      <w:pPr>
        <w:shd w:val="clear" w:color="auto" w:fill="FFFFFF"/>
        <w:jc w:val="center"/>
        <w:rPr>
          <w:rStyle w:val="4"/>
          <w:rFonts w:hint="default"/>
          <w:sz w:val="28"/>
          <w:szCs w:val="28"/>
          <w:lang w:val="en-US"/>
        </w:rPr>
      </w:pPr>
      <w:r>
        <w:rPr>
          <w:rStyle w:val="4"/>
          <w:sz w:val="28"/>
          <w:szCs w:val="28"/>
        </w:rPr>
        <w:t>РІШЕННЯ №</w:t>
      </w:r>
      <w:r>
        <w:rPr>
          <w:rStyle w:val="4"/>
          <w:rFonts w:hint="default"/>
          <w:sz w:val="28"/>
          <w:szCs w:val="28"/>
          <w:lang w:val="en-US"/>
        </w:rPr>
        <w:t>41</w:t>
      </w:r>
    </w:p>
    <w:p w14:paraId="68A028E7">
      <w:pPr>
        <w:shd w:val="clear" w:color="auto" w:fill="FFFFFF"/>
        <w:jc w:val="center"/>
        <w:rPr>
          <w:sz w:val="28"/>
          <w:szCs w:val="28"/>
        </w:rPr>
      </w:pPr>
    </w:p>
    <w:p w14:paraId="0550623B">
      <w:pPr>
        <w:rPr>
          <w:sz w:val="28"/>
          <w:szCs w:val="28"/>
        </w:rPr>
      </w:pPr>
      <w:r>
        <w:rPr>
          <w:b/>
          <w:sz w:val="28"/>
          <w:szCs w:val="28"/>
          <w:lang w:val="ru-RU"/>
        </w:rPr>
        <w:t>12.02.2025</w:t>
      </w:r>
      <w:r>
        <w:rPr>
          <w:b/>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 xml:space="preserve">        </w:t>
      </w:r>
      <w:r>
        <w:rPr>
          <w:b/>
          <w:sz w:val="28"/>
          <w:szCs w:val="28"/>
        </w:rPr>
        <w:t>с.Попівка</w:t>
      </w:r>
    </w:p>
    <w:p w14:paraId="032334F5">
      <w:pPr>
        <w:jc w:val="both"/>
        <w:textAlignment w:val="baseline"/>
        <w:rPr>
          <w:sz w:val="28"/>
          <w:szCs w:val="28"/>
        </w:rPr>
      </w:pPr>
    </w:p>
    <w:p w14:paraId="6CBEB1AD">
      <w:pPr>
        <w:jc w:val="both"/>
        <w:textAlignment w:val="baseline"/>
        <w:rPr>
          <w:b/>
          <w:sz w:val="28"/>
          <w:szCs w:val="28"/>
          <w:lang w:eastAsia="uk-UA"/>
        </w:rPr>
      </w:pPr>
      <w:r>
        <w:rPr>
          <w:b/>
          <w:sz w:val="28"/>
          <w:szCs w:val="28"/>
        </w:rPr>
        <w:t>Про</w:t>
      </w:r>
      <w:r>
        <w:rPr>
          <w:b/>
          <w:sz w:val="28"/>
          <w:szCs w:val="28"/>
          <w:lang w:eastAsia="uk-UA"/>
        </w:rPr>
        <w:t xml:space="preserve"> надання дозволу на видалення</w:t>
      </w:r>
    </w:p>
    <w:p w14:paraId="55B57ECA">
      <w:pPr>
        <w:jc w:val="both"/>
        <w:textAlignment w:val="baseline"/>
        <w:rPr>
          <w:b/>
          <w:sz w:val="28"/>
          <w:szCs w:val="28"/>
          <w:lang w:eastAsia="uk-UA"/>
        </w:rPr>
      </w:pPr>
      <w:r>
        <w:rPr>
          <w:b/>
          <w:sz w:val="28"/>
          <w:szCs w:val="28"/>
          <w:lang w:eastAsia="uk-UA"/>
        </w:rPr>
        <w:t xml:space="preserve">зелених насаджень на території </w:t>
      </w:r>
    </w:p>
    <w:p w14:paraId="248A73C6">
      <w:pPr>
        <w:jc w:val="both"/>
        <w:textAlignment w:val="baseline"/>
        <w:rPr>
          <w:b/>
          <w:sz w:val="28"/>
          <w:szCs w:val="28"/>
        </w:rPr>
      </w:pPr>
      <w:r>
        <w:rPr>
          <w:b/>
          <w:sz w:val="28"/>
          <w:szCs w:val="28"/>
        </w:rPr>
        <w:t xml:space="preserve">Попівської сільської ради Конотопського </w:t>
      </w:r>
    </w:p>
    <w:p w14:paraId="789D065A">
      <w:pPr>
        <w:jc w:val="both"/>
        <w:textAlignment w:val="baseline"/>
        <w:rPr>
          <w:rFonts w:eastAsia="Times New Roman"/>
          <w:b/>
          <w:bCs/>
          <w:sz w:val="28"/>
          <w:szCs w:val="28"/>
          <w:lang w:eastAsia="uk-UA"/>
        </w:rPr>
      </w:pPr>
      <w:r>
        <w:rPr>
          <w:b/>
          <w:sz w:val="28"/>
          <w:szCs w:val="28"/>
        </w:rPr>
        <w:t>району Сумської області</w:t>
      </w:r>
    </w:p>
    <w:p w14:paraId="349BB4C8">
      <w:pPr>
        <w:pStyle w:val="6"/>
        <w:jc w:val="both"/>
        <w:rPr>
          <w:b/>
          <w:bCs/>
          <w:szCs w:val="28"/>
          <w:lang w:eastAsia="uk-UA"/>
        </w:rPr>
      </w:pPr>
    </w:p>
    <w:p w14:paraId="18D59C19">
      <w:pPr>
        <w:ind w:firstLine="709"/>
        <w:jc w:val="both"/>
        <w:rPr>
          <w:sz w:val="28"/>
          <w:szCs w:val="28"/>
        </w:rPr>
      </w:pPr>
      <w:r>
        <w:rPr>
          <w:sz w:val="28"/>
          <w:szCs w:val="28"/>
        </w:rPr>
        <w:t xml:space="preserve">Розглянувши Акти обстеження зелених насаджень, що підлягають видаленню, керуючись статтею 28 Закону України «Про благоустрій населених пунктів», Законом України «Про автомобільні дороги», Порядком видалення дерев, кущів, газонів і квітників у населених пунктах, затвердженим Постановою Кабінету Міністрів України  від 01.08.2006  №1045, Правилами утримання зелених насаджень у населених пунктах України, затвердженими наказом Міністерства будівництва, архітектури та житлово-комунального господарства України від 10.04.2006 №105, частиною 1 статті 34 Закону України «Про регулювання містобудівної діяльності», Методикою визначення відновної вартості зелених насаджень, затвердженою наказом Міністерства з питань житлово-комунального господарства України від 12.05.2009 №127, Положенням «Про порядок видалення зелених насаджень на території Попівської сільської ради Конотопського району Сумської області в новій редакції», затвердженим рішенням шістдесят шостої сесії Попівської сільської ради Конотопського району Сумської області восьмого скликання від 08.11.2024, Меморандумом про співпрацю між державною установою «Інфраструктура Сумщини» та Попівською сільською радою Конотопського району Сумської області витягом з протоколу науково-технічної ради КЗХ СОР «РЛП «Сеймський» №30 від 03.02.2025, статтями 30, 33, 52 Закону України «Про місцеве самоврядування в Україні», </w:t>
      </w:r>
    </w:p>
    <w:p w14:paraId="23A491D5">
      <w:pPr>
        <w:jc w:val="both"/>
        <w:rPr>
          <w:sz w:val="28"/>
          <w:szCs w:val="28"/>
        </w:rPr>
      </w:pPr>
      <w:r>
        <w:rPr>
          <w:sz w:val="28"/>
          <w:szCs w:val="28"/>
        </w:rPr>
        <w:t>виконавчий комітет вирішив:</w:t>
      </w:r>
    </w:p>
    <w:p w14:paraId="3FD20495">
      <w:pPr>
        <w:pStyle w:val="9"/>
        <w:numPr>
          <w:ilvl w:val="0"/>
          <w:numId w:val="2"/>
        </w:numPr>
        <w:tabs>
          <w:tab w:val="left" w:pos="567"/>
        </w:tabs>
        <w:ind w:left="0" w:firstLine="570"/>
        <w:jc w:val="both"/>
        <w:rPr>
          <w:sz w:val="28"/>
          <w:szCs w:val="28"/>
        </w:rPr>
      </w:pPr>
      <w:r>
        <w:rPr>
          <w:sz w:val="28"/>
          <w:szCs w:val="28"/>
        </w:rPr>
        <w:t>Надати дозвіл на видалення аварійних: з незадовільним станом, які досягли вікової межі, є фаутними, дуплястими, захаращують територію дошкільного закладу освіти, несуть загрозу життю та майну, захаращують територію прилеглу до домогосподарства, є дикорослими, самосійними, похиленими, псують намогильні споруди, захаращують територію кладовища, захаращують прохід вздовж вулиці, перешкоджають руху транспорту мешканців та сільськогосподарської техніки, заважають веденню сільськогосподарської діяльності, ростуть вздовж дороги, руйнують корінням фундамент будівель, є вітровальними, гілками вростають в повітряну лінію електромереж, постраждалі внаслідок лісової пожежі, знаходяться на місці інтенсивного пересування населення, досягли вікової межі  дерев на території Попівської сільської ради Конотопського району Сумської області, відповідно до переліку, що додається.</w:t>
      </w:r>
    </w:p>
    <w:p w14:paraId="40B2A54F">
      <w:pPr>
        <w:pStyle w:val="7"/>
        <w:numPr>
          <w:ilvl w:val="0"/>
          <w:numId w:val="0"/>
        </w:numPr>
        <w:ind w:firstLine="708"/>
        <w:jc w:val="both"/>
        <w:rPr>
          <w:sz w:val="28"/>
          <w:szCs w:val="28"/>
          <w:lang w:eastAsia="uk-UA"/>
        </w:rPr>
      </w:pPr>
      <w:r>
        <w:rPr>
          <w:sz w:val="28"/>
          <w:szCs w:val="28"/>
        </w:rPr>
        <w:t>2. Відділу житлово-комунального господарства, архітектури, будівництва, транспорту та комунальної власності Попівської сільської ради Конотопського району Сумської області підготувати ордери на видалення зелених насаджень.</w:t>
      </w:r>
    </w:p>
    <w:p w14:paraId="4DAA1331">
      <w:pPr>
        <w:ind w:firstLine="708"/>
        <w:jc w:val="both"/>
        <w:rPr>
          <w:sz w:val="28"/>
          <w:szCs w:val="28"/>
        </w:rPr>
      </w:pPr>
      <w:r>
        <w:rPr>
          <w:sz w:val="28"/>
          <w:szCs w:val="28"/>
        </w:rPr>
        <w:t>3. Виконавцям робіт по видаленню зелених насаджень:</w:t>
      </w:r>
    </w:p>
    <w:p w14:paraId="27BDEF0F">
      <w:pPr>
        <w:ind w:firstLine="708"/>
        <w:jc w:val="both"/>
        <w:rPr>
          <w:sz w:val="28"/>
          <w:szCs w:val="28"/>
        </w:rPr>
      </w:pPr>
      <w:r>
        <w:rPr>
          <w:sz w:val="28"/>
          <w:szCs w:val="28"/>
        </w:rPr>
        <w:t>3.1. Роботи виконувати з дотриманням вимог охорони праці та техніки безпеки.</w:t>
      </w:r>
    </w:p>
    <w:p w14:paraId="724740BE">
      <w:pPr>
        <w:ind w:firstLine="708"/>
        <w:jc w:val="both"/>
        <w:rPr>
          <w:sz w:val="28"/>
          <w:szCs w:val="28"/>
        </w:rPr>
      </w:pPr>
      <w:r>
        <w:rPr>
          <w:sz w:val="28"/>
          <w:szCs w:val="28"/>
        </w:rPr>
        <w:t xml:space="preserve">3.2.  </w:t>
      </w:r>
      <w:r>
        <w:t xml:space="preserve"> </w:t>
      </w:r>
      <w:r>
        <w:rPr>
          <w:sz w:val="28"/>
          <w:szCs w:val="28"/>
        </w:rPr>
        <w:t>До початку проведення робіт відповідальні за проведення робіт юридичні особи, фізичні особи – підприємці, фізичні особи зобов’язані сповістити (шляхом передання телефонограми) представників організацій, підприємств, установ, комунікації яких знаходяться на місці проведення робіт та викликати їх на місце проведення робіт. У разі несвоєчасного сповіщення (до початку проведення робіт у терміни згідно дозволу) або пошкодження інженерних мереж - відповідальність покладається на сторону, яка проводила роботи.</w:t>
      </w:r>
    </w:p>
    <w:p w14:paraId="77668F90">
      <w:pPr>
        <w:ind w:firstLine="708"/>
        <w:jc w:val="both"/>
        <w:rPr>
          <w:sz w:val="28"/>
          <w:szCs w:val="28"/>
        </w:rPr>
      </w:pPr>
      <w:r>
        <w:rPr>
          <w:sz w:val="28"/>
          <w:szCs w:val="28"/>
        </w:rPr>
        <w:t>3.3.  Після проведення робіт забезпечити наведення санітарного порядку в 14-ти денний термін.</w:t>
      </w:r>
    </w:p>
    <w:p w14:paraId="52E9BFED">
      <w:pPr>
        <w:ind w:firstLine="708"/>
        <w:jc w:val="both"/>
        <w:rPr>
          <w:sz w:val="28"/>
          <w:szCs w:val="28"/>
        </w:rPr>
      </w:pPr>
      <w:r>
        <w:rPr>
          <w:sz w:val="28"/>
          <w:szCs w:val="28"/>
        </w:rPr>
        <w:t>4. Контроль за виконанням даного рішення покласти на заступника сільського голови з питань діяльності виконавчих органів ради Ірину КЛІГУНОВУ.</w:t>
      </w:r>
    </w:p>
    <w:p w14:paraId="43E407A4">
      <w:pPr>
        <w:tabs>
          <w:tab w:val="left" w:pos="426"/>
        </w:tabs>
        <w:ind w:firstLine="709"/>
        <w:jc w:val="both"/>
        <w:rPr>
          <w:sz w:val="26"/>
          <w:szCs w:val="26"/>
        </w:rPr>
      </w:pPr>
    </w:p>
    <w:p w14:paraId="1A9A5FE0">
      <w:pPr>
        <w:pStyle w:val="7"/>
        <w:numPr>
          <w:ilvl w:val="0"/>
          <w:numId w:val="0"/>
        </w:numPr>
        <w:ind w:left="360"/>
        <w:jc w:val="both"/>
        <w:rPr>
          <w:sz w:val="28"/>
          <w:szCs w:val="28"/>
          <w:lang w:eastAsia="uk-UA"/>
        </w:rPr>
      </w:pPr>
    </w:p>
    <w:p w14:paraId="618ED75F">
      <w:pPr>
        <w:rPr>
          <w:rFonts w:eastAsia="Times New Roman"/>
          <w:b/>
          <w:bCs/>
          <w:sz w:val="30"/>
          <w:lang w:eastAsia="uk-UA"/>
        </w:rPr>
      </w:pPr>
      <w:r>
        <w:rPr>
          <w:rFonts w:eastAsia="Times New Roman"/>
          <w:b/>
          <w:bCs/>
          <w:sz w:val="30"/>
          <w:lang w:eastAsia="uk-UA"/>
        </w:rPr>
        <w:t xml:space="preserve">Заступник сільського голови  </w:t>
      </w:r>
    </w:p>
    <w:p w14:paraId="6601DFC1">
      <w:pPr>
        <w:rPr>
          <w:rFonts w:eastAsia="Times New Roman"/>
          <w:b/>
          <w:bCs/>
          <w:sz w:val="30"/>
          <w:lang w:eastAsia="uk-UA"/>
        </w:rPr>
      </w:pPr>
      <w:r>
        <w:rPr>
          <w:rFonts w:eastAsia="Times New Roman"/>
          <w:b/>
          <w:bCs/>
          <w:sz w:val="30"/>
          <w:lang w:eastAsia="uk-UA"/>
        </w:rPr>
        <w:t xml:space="preserve">з питань діяльності </w:t>
      </w:r>
    </w:p>
    <w:p w14:paraId="7166FF98">
      <w:r>
        <w:rPr>
          <w:rFonts w:eastAsia="Times New Roman"/>
          <w:b/>
          <w:bCs/>
          <w:sz w:val="30"/>
          <w:lang w:eastAsia="uk-UA"/>
        </w:rPr>
        <w:t xml:space="preserve">виконавчих органів ради </w:t>
      </w:r>
      <w:r>
        <w:rPr>
          <w:rFonts w:eastAsia="Times New Roman"/>
          <w:b/>
          <w:bCs/>
          <w:sz w:val="30"/>
          <w:lang w:eastAsia="uk-UA"/>
        </w:rPr>
        <w:tab/>
      </w:r>
      <w:r>
        <w:rPr>
          <w:rFonts w:eastAsia="Times New Roman"/>
          <w:b/>
          <w:bCs/>
          <w:sz w:val="30"/>
          <w:lang w:eastAsia="uk-UA"/>
        </w:rPr>
        <w:t xml:space="preserve">             </w:t>
      </w:r>
      <w:r>
        <w:rPr>
          <w:rFonts w:eastAsia="Times New Roman"/>
          <w:b/>
          <w:bCs/>
          <w:sz w:val="30"/>
          <w:lang w:eastAsia="uk-UA"/>
        </w:rPr>
        <w:tab/>
      </w:r>
      <w:r>
        <w:rPr>
          <w:rFonts w:eastAsia="Times New Roman"/>
          <w:b/>
          <w:bCs/>
          <w:sz w:val="30"/>
          <w:lang w:eastAsia="uk-UA"/>
        </w:rPr>
        <w:tab/>
      </w:r>
      <w:r>
        <w:rPr>
          <w:rFonts w:eastAsia="Times New Roman"/>
          <w:b/>
          <w:bCs/>
          <w:sz w:val="30"/>
          <w:lang w:eastAsia="uk-UA"/>
        </w:rPr>
        <w:tab/>
      </w:r>
      <w:r>
        <w:rPr>
          <w:rFonts w:eastAsia="Times New Roman"/>
          <w:b/>
          <w:bCs/>
          <w:sz w:val="30"/>
          <w:lang w:eastAsia="uk-UA"/>
        </w:rPr>
        <w:t xml:space="preserve">  Ірина КЛІГУНОВА  </w:t>
      </w:r>
    </w:p>
    <w:p w14:paraId="1315C892">
      <w:r>
        <w:tab/>
      </w:r>
      <w:r>
        <w:tab/>
      </w:r>
    </w:p>
    <w:p w14:paraId="0CFBDF56"/>
    <w:p w14:paraId="14D81ECC"/>
    <w:p w14:paraId="3A59C702"/>
    <w:p w14:paraId="09B8B99C"/>
    <w:p w14:paraId="5C045120"/>
    <w:p w14:paraId="1B65DB4C"/>
    <w:p w14:paraId="26821FF5"/>
    <w:p w14:paraId="749BBD23">
      <w:pPr>
        <w:suppressAutoHyphens/>
        <w:jc w:val="both"/>
      </w:pPr>
    </w:p>
    <w:p w14:paraId="6CC7D569">
      <w:pPr>
        <w:suppressAutoHyphens/>
        <w:jc w:val="both"/>
      </w:pPr>
    </w:p>
    <w:p w14:paraId="4AD3B7D4">
      <w:pPr>
        <w:suppressAutoHyphens/>
        <w:jc w:val="both"/>
      </w:pPr>
    </w:p>
    <w:p w14:paraId="22845510">
      <w:pPr>
        <w:suppressAutoHyphens/>
        <w:jc w:val="both"/>
      </w:pPr>
    </w:p>
    <w:p w14:paraId="1DCEC8BE">
      <w:pPr>
        <w:suppressAutoHyphens/>
        <w:jc w:val="both"/>
      </w:pPr>
    </w:p>
    <w:p w14:paraId="35628127">
      <w:pPr>
        <w:suppressAutoHyphens/>
        <w:jc w:val="both"/>
      </w:pPr>
    </w:p>
    <w:p w14:paraId="13C774BD">
      <w:pPr>
        <w:suppressAutoHyphens/>
        <w:jc w:val="both"/>
      </w:pPr>
    </w:p>
    <w:p w14:paraId="67123169">
      <w:pPr>
        <w:suppressAutoHyphens/>
        <w:jc w:val="both"/>
      </w:pPr>
    </w:p>
    <w:p w14:paraId="22453AAA">
      <w:pPr>
        <w:suppressAutoHyphens/>
        <w:jc w:val="both"/>
      </w:pPr>
    </w:p>
    <w:p w14:paraId="74AB7FA5">
      <w:pPr>
        <w:suppressAutoHyphens/>
        <w:jc w:val="both"/>
      </w:pPr>
    </w:p>
    <w:p w14:paraId="7A9C7F5F">
      <w:pPr>
        <w:suppressAutoHyphens/>
        <w:jc w:val="both"/>
      </w:pPr>
    </w:p>
    <w:p w14:paraId="5A88A7DC">
      <w:pPr>
        <w:suppressAutoHyphens/>
        <w:jc w:val="both"/>
      </w:pPr>
    </w:p>
    <w:p w14:paraId="47F5024C">
      <w:pPr>
        <w:suppressAutoHyphens/>
        <w:jc w:val="both"/>
      </w:pPr>
    </w:p>
    <w:p w14:paraId="022E2657">
      <w:pPr>
        <w:suppressAutoHyphens/>
        <w:jc w:val="both"/>
        <w:rPr>
          <w:shd w:val="clear" w:color="auto" w:fill="FFFFFF"/>
        </w:rPr>
      </w:pPr>
      <w:r>
        <w:t>Тетяна МІЩЕНКО</w:t>
      </w:r>
    </w:p>
    <w:p w14:paraId="4CD59E70">
      <w:pPr>
        <w:suppressAutoHyphens/>
        <w:jc w:val="both"/>
        <w:rPr>
          <w:color w:val="000000"/>
        </w:rPr>
      </w:pPr>
      <w:r>
        <w:rPr>
          <w:shd w:val="clear" w:color="auto" w:fill="FFFFFF"/>
        </w:rPr>
        <w:t xml:space="preserve">Надіслано: до протоколу – 1, </w:t>
      </w:r>
      <w:r>
        <w:rPr>
          <w:rStyle w:val="10"/>
        </w:rPr>
        <w:t xml:space="preserve">відділу </w:t>
      </w:r>
      <w:r>
        <w:rPr>
          <w:bCs/>
          <w:color w:val="000000"/>
        </w:rPr>
        <w:t>житлово-комунального господарства, архітектури, будівництва, транспорту та комунальної власності Попівської сільської ради Конотопського району Сумської області</w:t>
      </w:r>
      <w:r>
        <w:rPr>
          <w:color w:val="000000"/>
        </w:rPr>
        <w:t>-2.</w:t>
      </w:r>
    </w:p>
    <w:p w14:paraId="214D03E1">
      <w:pPr>
        <w:tabs>
          <w:tab w:val="left" w:pos="11026"/>
        </w:tabs>
        <w:rPr>
          <w:sz w:val="24"/>
          <w:szCs w:val="24"/>
        </w:rPr>
      </w:pPr>
    </w:p>
    <w:p w14:paraId="7BFFE16E">
      <w:pPr>
        <w:tabs>
          <w:tab w:val="left" w:pos="11026"/>
        </w:tabs>
        <w:ind w:left="6804"/>
        <w:rPr>
          <w:sz w:val="24"/>
          <w:szCs w:val="24"/>
        </w:rPr>
      </w:pPr>
    </w:p>
    <w:p w14:paraId="1DD97EB6">
      <w:pPr>
        <w:tabs>
          <w:tab w:val="left" w:pos="11026"/>
        </w:tabs>
        <w:ind w:left="6804"/>
        <w:rPr>
          <w:sz w:val="24"/>
          <w:szCs w:val="24"/>
        </w:rPr>
      </w:pPr>
      <w:r>
        <w:rPr>
          <w:sz w:val="24"/>
          <w:szCs w:val="24"/>
        </w:rPr>
        <w:t>Додаток  до рішення</w:t>
      </w:r>
    </w:p>
    <w:p w14:paraId="289F0E52">
      <w:pPr>
        <w:tabs>
          <w:tab w:val="left" w:pos="11026"/>
        </w:tabs>
        <w:ind w:left="6804"/>
        <w:rPr>
          <w:sz w:val="24"/>
          <w:szCs w:val="24"/>
        </w:rPr>
      </w:pPr>
      <w:r>
        <w:rPr>
          <w:sz w:val="24"/>
          <w:szCs w:val="24"/>
        </w:rPr>
        <w:t>Виконавчого комітету</w:t>
      </w:r>
    </w:p>
    <w:p w14:paraId="27FD5F6A">
      <w:pPr>
        <w:tabs>
          <w:tab w:val="left" w:pos="11026"/>
        </w:tabs>
        <w:ind w:left="6804"/>
        <w:rPr>
          <w:sz w:val="24"/>
          <w:szCs w:val="24"/>
        </w:rPr>
      </w:pPr>
      <w:r>
        <w:rPr>
          <w:sz w:val="24"/>
          <w:szCs w:val="24"/>
        </w:rPr>
        <w:t xml:space="preserve">Попівської сільської ради </w:t>
      </w:r>
    </w:p>
    <w:p w14:paraId="3ABDD6CB">
      <w:pPr>
        <w:tabs>
          <w:tab w:val="left" w:pos="11026"/>
        </w:tabs>
        <w:ind w:left="6804"/>
        <w:rPr>
          <w:sz w:val="24"/>
          <w:szCs w:val="24"/>
        </w:rPr>
      </w:pPr>
      <w:r>
        <w:rPr>
          <w:sz w:val="24"/>
          <w:szCs w:val="24"/>
        </w:rPr>
        <w:t>№</w:t>
      </w:r>
      <w:r>
        <w:rPr>
          <w:rFonts w:hint="default"/>
          <w:sz w:val="24"/>
          <w:szCs w:val="24"/>
          <w:lang w:val="en-US"/>
        </w:rPr>
        <w:t>41</w:t>
      </w:r>
      <w:bookmarkStart w:id="0" w:name="_GoBack"/>
      <w:bookmarkEnd w:id="0"/>
      <w:r>
        <w:rPr>
          <w:sz w:val="24"/>
          <w:szCs w:val="24"/>
        </w:rPr>
        <w:t>від 12.02.2025р.</w:t>
      </w:r>
    </w:p>
    <w:p w14:paraId="340D2DD3">
      <w:pPr>
        <w:tabs>
          <w:tab w:val="left" w:pos="11026"/>
        </w:tabs>
        <w:ind w:left="6804"/>
        <w:rPr>
          <w:sz w:val="24"/>
          <w:szCs w:val="24"/>
        </w:rPr>
      </w:pPr>
    </w:p>
    <w:p w14:paraId="5C22F2E4">
      <w:pPr>
        <w:tabs>
          <w:tab w:val="left" w:pos="11026"/>
        </w:tabs>
        <w:ind w:left="6804"/>
        <w:rPr>
          <w:sz w:val="24"/>
          <w:szCs w:val="24"/>
        </w:rPr>
      </w:pPr>
    </w:p>
    <w:p w14:paraId="6064200F">
      <w:pPr>
        <w:tabs>
          <w:tab w:val="left" w:pos="11026"/>
        </w:tabs>
        <w:jc w:val="center"/>
        <w:rPr>
          <w:color w:val="000000"/>
          <w:sz w:val="28"/>
          <w:szCs w:val="28"/>
        </w:rPr>
      </w:pPr>
      <w:r>
        <w:rPr>
          <w:color w:val="000000"/>
          <w:sz w:val="28"/>
          <w:szCs w:val="28"/>
        </w:rPr>
        <w:t>ПЕРЕЛІК</w:t>
      </w:r>
    </w:p>
    <w:p w14:paraId="56EE9ABA">
      <w:pPr>
        <w:tabs>
          <w:tab w:val="left" w:pos="11026"/>
        </w:tabs>
        <w:jc w:val="center"/>
        <w:rPr>
          <w:sz w:val="28"/>
          <w:szCs w:val="28"/>
        </w:rPr>
      </w:pPr>
      <w:r>
        <w:rPr>
          <w:sz w:val="28"/>
          <w:szCs w:val="28"/>
        </w:rPr>
        <w:t xml:space="preserve">аварійних дерев на території </w:t>
      </w:r>
    </w:p>
    <w:p w14:paraId="303CB76A">
      <w:pPr>
        <w:tabs>
          <w:tab w:val="left" w:pos="11026"/>
        </w:tabs>
        <w:jc w:val="center"/>
        <w:rPr>
          <w:sz w:val="28"/>
          <w:szCs w:val="28"/>
        </w:rPr>
      </w:pPr>
      <w:r>
        <w:rPr>
          <w:sz w:val="28"/>
          <w:szCs w:val="28"/>
        </w:rPr>
        <w:t>Попівської сільської ради Конотопського району Сумської області</w:t>
      </w:r>
    </w:p>
    <w:p w14:paraId="5DD8A935">
      <w:pPr>
        <w:tabs>
          <w:tab w:val="left" w:pos="11026"/>
        </w:tabs>
        <w:jc w:val="center"/>
        <w:rPr>
          <w:color w:val="000000"/>
          <w:sz w:val="28"/>
          <w:szCs w:val="28"/>
        </w:rPr>
      </w:pPr>
    </w:p>
    <w:tbl>
      <w:tblPr>
        <w:tblStyle w:val="8"/>
        <w:tblW w:w="992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9"/>
        <w:gridCol w:w="8464"/>
      </w:tblGrid>
      <w:tr w14:paraId="64F89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9" w:type="dxa"/>
          </w:tcPr>
          <w:p w14:paraId="71A3D07F">
            <w:pPr>
              <w:tabs>
                <w:tab w:val="left" w:pos="567"/>
              </w:tabs>
              <w:jc w:val="center"/>
              <w:rPr>
                <w:b/>
                <w:sz w:val="28"/>
                <w:szCs w:val="28"/>
                <w:lang w:val="ru-RU"/>
              </w:rPr>
            </w:pPr>
            <w:r>
              <w:rPr>
                <w:b/>
                <w:sz w:val="28"/>
                <w:szCs w:val="28"/>
                <w:lang w:val="ru-RU"/>
              </w:rPr>
              <w:t>Номер за порядком</w:t>
            </w:r>
          </w:p>
        </w:tc>
        <w:tc>
          <w:tcPr>
            <w:tcW w:w="8464" w:type="dxa"/>
          </w:tcPr>
          <w:p w14:paraId="17A15C13">
            <w:pPr>
              <w:tabs>
                <w:tab w:val="left" w:pos="567"/>
              </w:tabs>
              <w:jc w:val="center"/>
              <w:rPr>
                <w:b/>
                <w:sz w:val="28"/>
                <w:szCs w:val="28"/>
                <w:lang w:val="ru-RU"/>
              </w:rPr>
            </w:pPr>
            <w:r>
              <w:rPr>
                <w:b/>
                <w:sz w:val="28"/>
                <w:szCs w:val="28"/>
                <w:lang w:val="ru-RU"/>
              </w:rPr>
              <w:t>Кількість дерев та місце розташування</w:t>
            </w:r>
          </w:p>
        </w:tc>
      </w:tr>
      <w:tr w14:paraId="018DA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459" w:type="dxa"/>
          </w:tcPr>
          <w:p w14:paraId="07A10281">
            <w:pPr>
              <w:tabs>
                <w:tab w:val="left" w:pos="567"/>
              </w:tabs>
              <w:jc w:val="center"/>
              <w:rPr>
                <w:sz w:val="28"/>
                <w:szCs w:val="28"/>
                <w:lang w:val="ru-RU"/>
              </w:rPr>
            </w:pPr>
            <w:r>
              <w:rPr>
                <w:sz w:val="28"/>
                <w:szCs w:val="28"/>
                <w:lang w:val="ru-RU"/>
              </w:rPr>
              <w:t>1</w:t>
            </w:r>
          </w:p>
        </w:tc>
        <w:tc>
          <w:tcPr>
            <w:tcW w:w="8464" w:type="dxa"/>
          </w:tcPr>
          <w:p w14:paraId="29CD1F4D">
            <w:pPr>
              <w:tabs>
                <w:tab w:val="left" w:pos="567"/>
              </w:tabs>
              <w:rPr>
                <w:sz w:val="28"/>
                <w:szCs w:val="28"/>
                <w:lang w:val="ru-RU"/>
              </w:rPr>
            </w:pPr>
            <w:r>
              <w:rPr>
                <w:sz w:val="28"/>
                <w:szCs w:val="28"/>
                <w:lang w:val="ru-RU"/>
              </w:rPr>
              <w:t>134 дерева, вздовж смуг відведення на дорозі: С190531 Під’їзд від /О 190502/ до с. Тулушка</w:t>
            </w:r>
          </w:p>
        </w:tc>
      </w:tr>
      <w:tr w14:paraId="60C9C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459" w:type="dxa"/>
          </w:tcPr>
          <w:p w14:paraId="1CDD41D4">
            <w:pPr>
              <w:tabs>
                <w:tab w:val="left" w:pos="567"/>
              </w:tabs>
              <w:jc w:val="center"/>
              <w:rPr>
                <w:sz w:val="28"/>
                <w:szCs w:val="28"/>
                <w:lang w:val="ru-RU"/>
              </w:rPr>
            </w:pPr>
            <w:r>
              <w:rPr>
                <w:sz w:val="28"/>
                <w:szCs w:val="28"/>
                <w:lang w:val="ru-RU"/>
              </w:rPr>
              <w:t>2</w:t>
            </w:r>
          </w:p>
        </w:tc>
        <w:tc>
          <w:tcPr>
            <w:tcW w:w="8464" w:type="dxa"/>
          </w:tcPr>
          <w:p w14:paraId="0B3FF2E3">
            <w:pPr>
              <w:tabs>
                <w:tab w:val="left" w:pos="567"/>
              </w:tabs>
              <w:rPr>
                <w:sz w:val="28"/>
                <w:szCs w:val="28"/>
                <w:lang w:val="ru-RU"/>
              </w:rPr>
            </w:pPr>
            <w:r>
              <w:rPr>
                <w:sz w:val="28"/>
                <w:szCs w:val="28"/>
                <w:lang w:val="ru-RU"/>
              </w:rPr>
              <w:t>19 дерев, с. Тулушка, вул. Квітнева (Невського), 40</w:t>
            </w:r>
          </w:p>
        </w:tc>
      </w:tr>
      <w:tr w14:paraId="3D5C1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459" w:type="dxa"/>
          </w:tcPr>
          <w:p w14:paraId="71B7306B">
            <w:pPr>
              <w:tabs>
                <w:tab w:val="left" w:pos="567"/>
              </w:tabs>
              <w:jc w:val="center"/>
              <w:rPr>
                <w:sz w:val="28"/>
                <w:szCs w:val="28"/>
                <w:lang w:val="ru-RU"/>
              </w:rPr>
            </w:pPr>
            <w:r>
              <w:rPr>
                <w:sz w:val="28"/>
                <w:szCs w:val="28"/>
                <w:lang w:val="ru-RU"/>
              </w:rPr>
              <w:t>3</w:t>
            </w:r>
          </w:p>
        </w:tc>
        <w:tc>
          <w:tcPr>
            <w:tcW w:w="8464" w:type="dxa"/>
          </w:tcPr>
          <w:p w14:paraId="1498AC61">
            <w:pPr>
              <w:tabs>
                <w:tab w:val="left" w:pos="567"/>
              </w:tabs>
              <w:rPr>
                <w:sz w:val="28"/>
                <w:szCs w:val="28"/>
                <w:lang w:val="ru-RU"/>
              </w:rPr>
            </w:pPr>
            <w:r>
              <w:rPr>
                <w:sz w:val="28"/>
                <w:szCs w:val="28"/>
                <w:lang w:val="ru-RU"/>
              </w:rPr>
              <w:t xml:space="preserve">3 дерева, с. Попівка, вул. Вишнева, 8, </w:t>
            </w:r>
            <w:r>
              <w:rPr>
                <w:rFonts w:eastAsia="Times New Roman"/>
                <w:color w:val="000000" w:themeColor="text1"/>
                <w:sz w:val="28"/>
                <w:szCs w:val="28"/>
                <w:lang w:val="ru-RU"/>
                <w14:textFill>
                  <w14:solidFill>
                    <w14:schemeClr w14:val="tx1"/>
                  </w14:solidFill>
                </w14:textFill>
              </w:rPr>
              <w:t xml:space="preserve">на території дошкільного структурного підрозділу Опорного закладу освіти “Попівський ЗЗСО </w:t>
            </w:r>
            <w:r>
              <w:rPr>
                <w:rFonts w:eastAsia="Times New Roman"/>
                <w:color w:val="000000" w:themeColor="text1"/>
                <w:sz w:val="28"/>
                <w:szCs w:val="28"/>
                <w:lang w:val="en-US"/>
                <w14:textFill>
                  <w14:solidFill>
                    <w14:schemeClr w14:val="tx1"/>
                  </w14:solidFill>
                </w14:textFill>
              </w:rPr>
              <w:t>I</w:t>
            </w:r>
            <w:r>
              <w:rPr>
                <w:rFonts w:eastAsia="Times New Roman"/>
                <w:color w:val="000000" w:themeColor="text1"/>
                <w:sz w:val="28"/>
                <w:szCs w:val="28"/>
                <w:lang w:val="ru-RU"/>
                <w14:textFill>
                  <w14:solidFill>
                    <w14:schemeClr w14:val="tx1"/>
                  </w14:solidFill>
                </w14:textFill>
              </w:rPr>
              <w:t>-</w:t>
            </w:r>
            <w:r>
              <w:rPr>
                <w:rFonts w:eastAsia="Times New Roman"/>
                <w:color w:val="000000" w:themeColor="text1"/>
                <w:sz w:val="28"/>
                <w:szCs w:val="28"/>
                <w:lang w:val="en-US"/>
                <w14:textFill>
                  <w14:solidFill>
                    <w14:schemeClr w14:val="tx1"/>
                  </w14:solidFill>
                </w14:textFill>
              </w:rPr>
              <w:t>III</w:t>
            </w:r>
            <w:r>
              <w:rPr>
                <w:rFonts w:eastAsia="Times New Roman"/>
                <w:color w:val="000000" w:themeColor="text1"/>
                <w:sz w:val="28"/>
                <w:szCs w:val="28"/>
                <w:lang w:val="ru-RU"/>
                <w14:textFill>
                  <w14:solidFill>
                    <w14:schemeClr w14:val="tx1"/>
                  </w14:solidFill>
                </w14:textFill>
              </w:rPr>
              <w:t>ст.”</w:t>
            </w:r>
          </w:p>
        </w:tc>
      </w:tr>
      <w:tr w14:paraId="47B63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459" w:type="dxa"/>
          </w:tcPr>
          <w:p w14:paraId="61B8CD7D">
            <w:pPr>
              <w:tabs>
                <w:tab w:val="left" w:pos="567"/>
              </w:tabs>
              <w:jc w:val="center"/>
              <w:rPr>
                <w:sz w:val="28"/>
                <w:szCs w:val="28"/>
                <w:lang w:val="ru-RU"/>
              </w:rPr>
            </w:pPr>
            <w:r>
              <w:rPr>
                <w:sz w:val="28"/>
                <w:szCs w:val="28"/>
                <w:lang w:val="ru-RU"/>
              </w:rPr>
              <w:t>4</w:t>
            </w:r>
          </w:p>
        </w:tc>
        <w:tc>
          <w:tcPr>
            <w:tcW w:w="8464" w:type="dxa"/>
          </w:tcPr>
          <w:p w14:paraId="30809E90">
            <w:pPr>
              <w:tabs>
                <w:tab w:val="left" w:pos="567"/>
              </w:tabs>
              <w:rPr>
                <w:sz w:val="28"/>
                <w:szCs w:val="28"/>
                <w:lang w:val="ru-RU"/>
              </w:rPr>
            </w:pPr>
            <w:r>
              <w:rPr>
                <w:sz w:val="28"/>
                <w:szCs w:val="28"/>
                <w:lang w:val="ru-RU"/>
              </w:rPr>
              <w:t xml:space="preserve">10 дерев, с. Тулушка, </w:t>
            </w:r>
            <w:r>
              <w:rPr>
                <w:rFonts w:eastAsia="Times New Roman"/>
                <w:color w:val="000000" w:themeColor="text1"/>
                <w:sz w:val="28"/>
                <w:szCs w:val="28"/>
                <w:lang w:val="ru-RU"/>
                <w14:textFill>
                  <w14:solidFill>
                    <w14:schemeClr w14:val="tx1"/>
                  </w14:solidFill>
                </w14:textFill>
              </w:rPr>
              <w:t>на території Тулущанського ЗЗСО І-ІІІ ст.</w:t>
            </w:r>
          </w:p>
        </w:tc>
      </w:tr>
      <w:tr w14:paraId="0DF47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459" w:type="dxa"/>
          </w:tcPr>
          <w:p w14:paraId="1867D96A">
            <w:pPr>
              <w:tabs>
                <w:tab w:val="left" w:pos="567"/>
              </w:tabs>
              <w:jc w:val="center"/>
              <w:rPr>
                <w:sz w:val="28"/>
                <w:szCs w:val="28"/>
                <w:lang w:val="ru-RU"/>
              </w:rPr>
            </w:pPr>
            <w:r>
              <w:rPr>
                <w:sz w:val="28"/>
                <w:szCs w:val="28"/>
                <w:lang w:val="ru-RU"/>
              </w:rPr>
              <w:t>5</w:t>
            </w:r>
          </w:p>
        </w:tc>
        <w:tc>
          <w:tcPr>
            <w:tcW w:w="8464" w:type="dxa"/>
          </w:tcPr>
          <w:p w14:paraId="487E1A25">
            <w:pPr>
              <w:tabs>
                <w:tab w:val="left" w:pos="567"/>
              </w:tabs>
              <w:rPr>
                <w:sz w:val="28"/>
                <w:szCs w:val="28"/>
                <w:lang w:val="ru-RU"/>
              </w:rPr>
            </w:pPr>
            <w:r>
              <w:rPr>
                <w:sz w:val="28"/>
                <w:szCs w:val="28"/>
                <w:lang w:val="ru-RU"/>
              </w:rPr>
              <w:t>7 дерев, с. Шаповалівка, вул. Центральна, 87</w:t>
            </w:r>
          </w:p>
        </w:tc>
      </w:tr>
      <w:tr w14:paraId="62CB1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459" w:type="dxa"/>
          </w:tcPr>
          <w:p w14:paraId="072F7C05">
            <w:pPr>
              <w:tabs>
                <w:tab w:val="left" w:pos="567"/>
              </w:tabs>
              <w:jc w:val="center"/>
              <w:rPr>
                <w:sz w:val="28"/>
                <w:szCs w:val="28"/>
                <w:lang w:val="ru-RU"/>
              </w:rPr>
            </w:pPr>
            <w:r>
              <w:rPr>
                <w:sz w:val="28"/>
                <w:szCs w:val="28"/>
                <w:lang w:val="ru-RU"/>
              </w:rPr>
              <w:t>6</w:t>
            </w:r>
          </w:p>
        </w:tc>
        <w:tc>
          <w:tcPr>
            <w:tcW w:w="8464" w:type="dxa"/>
          </w:tcPr>
          <w:p w14:paraId="53B19C6E">
            <w:pPr>
              <w:tabs>
                <w:tab w:val="left" w:pos="567"/>
              </w:tabs>
              <w:rPr>
                <w:sz w:val="28"/>
                <w:szCs w:val="28"/>
                <w:lang w:val="ru-RU"/>
              </w:rPr>
            </w:pPr>
            <w:r>
              <w:rPr>
                <w:sz w:val="28"/>
                <w:szCs w:val="28"/>
                <w:lang w:val="ru-RU"/>
              </w:rPr>
              <w:t>36  дерев, с. Великий Самбір, вул.  Соснівська, на території кладовища</w:t>
            </w:r>
          </w:p>
        </w:tc>
      </w:tr>
      <w:tr w14:paraId="68913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459" w:type="dxa"/>
          </w:tcPr>
          <w:p w14:paraId="012C4041">
            <w:pPr>
              <w:tabs>
                <w:tab w:val="left" w:pos="567"/>
              </w:tabs>
              <w:jc w:val="center"/>
              <w:rPr>
                <w:sz w:val="28"/>
                <w:szCs w:val="28"/>
                <w:lang w:val="ru-RU"/>
              </w:rPr>
            </w:pPr>
            <w:r>
              <w:rPr>
                <w:sz w:val="28"/>
                <w:szCs w:val="28"/>
                <w:lang w:val="ru-RU"/>
              </w:rPr>
              <w:t>7</w:t>
            </w:r>
          </w:p>
        </w:tc>
        <w:tc>
          <w:tcPr>
            <w:tcW w:w="8464" w:type="dxa"/>
          </w:tcPr>
          <w:p w14:paraId="5447C737">
            <w:pPr>
              <w:tabs>
                <w:tab w:val="left" w:pos="567"/>
              </w:tabs>
              <w:rPr>
                <w:sz w:val="28"/>
                <w:szCs w:val="28"/>
                <w:lang w:val="ru-RU"/>
              </w:rPr>
            </w:pPr>
            <w:r>
              <w:rPr>
                <w:sz w:val="28"/>
                <w:szCs w:val="28"/>
                <w:lang w:val="ru-RU"/>
              </w:rPr>
              <w:t>133  дерева, с. Великий Самбір, вул.  Новоселівська</w:t>
            </w:r>
          </w:p>
        </w:tc>
      </w:tr>
      <w:tr w14:paraId="663AD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459" w:type="dxa"/>
          </w:tcPr>
          <w:p w14:paraId="28266071">
            <w:pPr>
              <w:tabs>
                <w:tab w:val="left" w:pos="567"/>
              </w:tabs>
              <w:jc w:val="center"/>
              <w:rPr>
                <w:sz w:val="28"/>
                <w:szCs w:val="28"/>
                <w:lang w:val="ru-RU"/>
              </w:rPr>
            </w:pPr>
            <w:r>
              <w:rPr>
                <w:sz w:val="28"/>
                <w:szCs w:val="28"/>
                <w:lang w:val="ru-RU"/>
              </w:rPr>
              <w:t>8</w:t>
            </w:r>
          </w:p>
        </w:tc>
        <w:tc>
          <w:tcPr>
            <w:tcW w:w="8464" w:type="dxa"/>
          </w:tcPr>
          <w:p w14:paraId="72A15343">
            <w:pPr>
              <w:tabs>
                <w:tab w:val="left" w:pos="567"/>
              </w:tabs>
              <w:rPr>
                <w:sz w:val="28"/>
                <w:szCs w:val="28"/>
                <w:lang w:val="ru-RU"/>
              </w:rPr>
            </w:pPr>
            <w:r>
              <w:rPr>
                <w:sz w:val="28"/>
                <w:szCs w:val="28"/>
                <w:lang w:val="ru-RU"/>
              </w:rPr>
              <w:t>1 дерево, с. Великий Самбір, вул. П. Ключини</w:t>
            </w:r>
          </w:p>
        </w:tc>
      </w:tr>
      <w:tr w14:paraId="09A76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1459" w:type="dxa"/>
          </w:tcPr>
          <w:p w14:paraId="67B2F00C">
            <w:pPr>
              <w:tabs>
                <w:tab w:val="left" w:pos="567"/>
              </w:tabs>
              <w:jc w:val="center"/>
              <w:rPr>
                <w:sz w:val="28"/>
                <w:szCs w:val="28"/>
                <w:lang w:val="ru-RU"/>
              </w:rPr>
            </w:pPr>
            <w:r>
              <w:rPr>
                <w:sz w:val="28"/>
                <w:szCs w:val="28"/>
                <w:lang w:val="uk-UA"/>
              </w:rPr>
              <w:t>9</w:t>
            </w:r>
          </w:p>
        </w:tc>
        <w:tc>
          <w:tcPr>
            <w:tcW w:w="8464" w:type="dxa"/>
          </w:tcPr>
          <w:p w14:paraId="3E67B30B">
            <w:pPr>
              <w:tabs>
                <w:tab w:val="left" w:pos="567"/>
              </w:tabs>
              <w:rPr>
                <w:bCs/>
                <w:sz w:val="28"/>
                <w:szCs w:val="28"/>
                <w:lang w:val="ru-RU"/>
              </w:rPr>
            </w:pPr>
            <w:r>
              <w:rPr>
                <w:bCs/>
                <w:sz w:val="28"/>
                <w:szCs w:val="28"/>
                <w:lang w:val="uk-UA"/>
              </w:rPr>
              <w:t>1 дерево, с. Мельня, на території кладовища</w:t>
            </w:r>
          </w:p>
        </w:tc>
      </w:tr>
      <w:tr w14:paraId="4B8EB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459" w:type="dxa"/>
          </w:tcPr>
          <w:p w14:paraId="13C03DFA">
            <w:pPr>
              <w:tabs>
                <w:tab w:val="left" w:pos="567"/>
              </w:tabs>
              <w:jc w:val="center"/>
              <w:rPr>
                <w:sz w:val="28"/>
                <w:szCs w:val="28"/>
                <w:lang w:val="ru-RU"/>
              </w:rPr>
            </w:pPr>
            <w:r>
              <w:rPr>
                <w:sz w:val="28"/>
                <w:szCs w:val="28"/>
                <w:lang w:val="uk-UA"/>
              </w:rPr>
              <w:t>10</w:t>
            </w:r>
          </w:p>
        </w:tc>
        <w:tc>
          <w:tcPr>
            <w:tcW w:w="8464" w:type="dxa"/>
          </w:tcPr>
          <w:p w14:paraId="178B17C5">
            <w:pPr>
              <w:tabs>
                <w:tab w:val="left" w:pos="0"/>
              </w:tabs>
              <w:jc w:val="both"/>
              <w:rPr>
                <w:sz w:val="28"/>
                <w:szCs w:val="28"/>
                <w:lang w:val="ru-RU"/>
              </w:rPr>
            </w:pPr>
            <w:r>
              <w:rPr>
                <w:sz w:val="28"/>
                <w:szCs w:val="28"/>
                <w:lang w:val="uk-UA"/>
              </w:rPr>
              <w:t>89 дерев, с. Гути, вул. Польова</w:t>
            </w:r>
          </w:p>
        </w:tc>
      </w:tr>
      <w:tr w14:paraId="0B8A4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459" w:type="dxa"/>
          </w:tcPr>
          <w:p w14:paraId="60A2B50F">
            <w:pPr>
              <w:tabs>
                <w:tab w:val="left" w:pos="567"/>
              </w:tabs>
              <w:jc w:val="center"/>
              <w:rPr>
                <w:sz w:val="28"/>
                <w:szCs w:val="28"/>
                <w:lang w:val="ru-RU"/>
              </w:rPr>
            </w:pPr>
            <w:r>
              <w:rPr>
                <w:sz w:val="28"/>
                <w:szCs w:val="28"/>
                <w:lang w:val="uk-UA"/>
              </w:rPr>
              <w:t>11</w:t>
            </w:r>
          </w:p>
        </w:tc>
        <w:tc>
          <w:tcPr>
            <w:tcW w:w="8464" w:type="dxa"/>
          </w:tcPr>
          <w:p w14:paraId="6DD11C5B">
            <w:pPr>
              <w:tabs>
                <w:tab w:val="left" w:pos="0"/>
              </w:tabs>
              <w:jc w:val="both"/>
              <w:rPr>
                <w:sz w:val="28"/>
                <w:szCs w:val="28"/>
                <w:lang w:val="ru-RU"/>
              </w:rPr>
            </w:pPr>
            <w:r>
              <w:rPr>
                <w:sz w:val="28"/>
                <w:szCs w:val="28"/>
                <w:lang w:val="uk-UA"/>
              </w:rPr>
              <w:t>8 дерев, с. Мельня, вул. Центральна</w:t>
            </w:r>
          </w:p>
        </w:tc>
      </w:tr>
      <w:tr w14:paraId="537FA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459" w:type="dxa"/>
          </w:tcPr>
          <w:p w14:paraId="31B80499">
            <w:pPr>
              <w:tabs>
                <w:tab w:val="left" w:pos="567"/>
              </w:tabs>
              <w:jc w:val="center"/>
              <w:rPr>
                <w:sz w:val="28"/>
                <w:szCs w:val="28"/>
                <w:lang w:val="ru-RU"/>
              </w:rPr>
            </w:pPr>
            <w:r>
              <w:rPr>
                <w:sz w:val="28"/>
                <w:szCs w:val="28"/>
                <w:lang w:val="uk-UA"/>
              </w:rPr>
              <w:t>12</w:t>
            </w:r>
          </w:p>
        </w:tc>
        <w:tc>
          <w:tcPr>
            <w:tcW w:w="8464" w:type="dxa"/>
          </w:tcPr>
          <w:p w14:paraId="5504AD18">
            <w:pPr>
              <w:tabs>
                <w:tab w:val="left" w:pos="0"/>
              </w:tabs>
              <w:jc w:val="both"/>
              <w:rPr>
                <w:sz w:val="28"/>
                <w:szCs w:val="28"/>
                <w:lang w:val="ru-RU"/>
              </w:rPr>
            </w:pPr>
            <w:r>
              <w:rPr>
                <w:sz w:val="28"/>
                <w:szCs w:val="28"/>
                <w:lang w:val="uk-UA"/>
              </w:rPr>
              <w:t>1 дерево, с. Раки, вул. Руденка</w:t>
            </w:r>
          </w:p>
        </w:tc>
      </w:tr>
      <w:tr w14:paraId="0D7BF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459" w:type="dxa"/>
          </w:tcPr>
          <w:p w14:paraId="0F2F6900">
            <w:pPr>
              <w:tabs>
                <w:tab w:val="left" w:pos="567"/>
              </w:tabs>
              <w:jc w:val="center"/>
              <w:rPr>
                <w:sz w:val="28"/>
                <w:szCs w:val="28"/>
                <w:lang w:val="ru-RU"/>
              </w:rPr>
            </w:pPr>
            <w:r>
              <w:rPr>
                <w:sz w:val="28"/>
                <w:szCs w:val="28"/>
                <w:lang w:val="ru-RU"/>
              </w:rPr>
              <w:t>13</w:t>
            </w:r>
          </w:p>
        </w:tc>
        <w:tc>
          <w:tcPr>
            <w:tcW w:w="8464" w:type="dxa"/>
          </w:tcPr>
          <w:p w14:paraId="40316AC7">
            <w:pPr>
              <w:tabs>
                <w:tab w:val="left" w:pos="0"/>
              </w:tabs>
              <w:jc w:val="both"/>
              <w:rPr>
                <w:sz w:val="28"/>
                <w:szCs w:val="28"/>
                <w:lang w:val="ru-RU"/>
              </w:rPr>
            </w:pPr>
            <w:r>
              <w:rPr>
                <w:sz w:val="28"/>
                <w:szCs w:val="28"/>
                <w:lang w:val="uk-UA"/>
              </w:rPr>
              <w:t>23 дерева, с. Озаричі, вул. Якутівка (на території кладовища)</w:t>
            </w:r>
          </w:p>
        </w:tc>
      </w:tr>
      <w:tr w14:paraId="6CF00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459" w:type="dxa"/>
          </w:tcPr>
          <w:p w14:paraId="230F65D0">
            <w:pPr>
              <w:tabs>
                <w:tab w:val="left" w:pos="567"/>
              </w:tabs>
              <w:jc w:val="center"/>
              <w:rPr>
                <w:sz w:val="28"/>
                <w:szCs w:val="28"/>
                <w:lang w:val="ru-RU"/>
              </w:rPr>
            </w:pPr>
            <w:r>
              <w:rPr>
                <w:sz w:val="28"/>
                <w:szCs w:val="28"/>
                <w:lang w:val="uk-UA"/>
              </w:rPr>
              <w:t>14</w:t>
            </w:r>
          </w:p>
        </w:tc>
        <w:tc>
          <w:tcPr>
            <w:tcW w:w="8464" w:type="dxa"/>
          </w:tcPr>
          <w:p w14:paraId="153A2971">
            <w:pPr>
              <w:tabs>
                <w:tab w:val="left" w:pos="0"/>
              </w:tabs>
              <w:jc w:val="both"/>
              <w:rPr>
                <w:sz w:val="28"/>
                <w:szCs w:val="28"/>
                <w:lang w:val="ru-RU"/>
              </w:rPr>
            </w:pPr>
            <w:r>
              <w:rPr>
                <w:sz w:val="28"/>
                <w:szCs w:val="28"/>
                <w:lang w:val="uk-UA"/>
              </w:rPr>
              <w:t>7 дерев, с. Новоселівка, вул. Польова</w:t>
            </w:r>
          </w:p>
        </w:tc>
      </w:tr>
      <w:tr w14:paraId="63185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459" w:type="dxa"/>
          </w:tcPr>
          <w:p w14:paraId="569F484A">
            <w:pPr>
              <w:tabs>
                <w:tab w:val="left" w:pos="567"/>
              </w:tabs>
              <w:jc w:val="center"/>
              <w:rPr>
                <w:sz w:val="28"/>
                <w:szCs w:val="28"/>
                <w:lang w:val="ru-RU"/>
              </w:rPr>
            </w:pPr>
            <w:r>
              <w:rPr>
                <w:sz w:val="28"/>
                <w:szCs w:val="28"/>
                <w:lang w:val="uk-UA"/>
              </w:rPr>
              <w:t>15</w:t>
            </w:r>
          </w:p>
        </w:tc>
        <w:tc>
          <w:tcPr>
            <w:tcW w:w="8464" w:type="dxa"/>
          </w:tcPr>
          <w:p w14:paraId="15CF7706">
            <w:pPr>
              <w:tabs>
                <w:tab w:val="left" w:pos="0"/>
              </w:tabs>
              <w:jc w:val="both"/>
              <w:rPr>
                <w:sz w:val="28"/>
                <w:szCs w:val="28"/>
                <w:lang w:val="ru-RU"/>
              </w:rPr>
            </w:pPr>
            <w:r>
              <w:rPr>
                <w:sz w:val="28"/>
                <w:szCs w:val="28"/>
                <w:lang w:val="uk-UA"/>
              </w:rPr>
              <w:t>1 дерево, с-ще Заводське, вул. Заводська</w:t>
            </w:r>
          </w:p>
        </w:tc>
      </w:tr>
      <w:tr w14:paraId="082ED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459" w:type="dxa"/>
          </w:tcPr>
          <w:p w14:paraId="0677C7E6">
            <w:pPr>
              <w:tabs>
                <w:tab w:val="left" w:pos="567"/>
              </w:tabs>
              <w:jc w:val="center"/>
              <w:rPr>
                <w:sz w:val="28"/>
                <w:szCs w:val="28"/>
                <w:lang w:val="ru-RU"/>
              </w:rPr>
            </w:pPr>
            <w:r>
              <w:rPr>
                <w:sz w:val="28"/>
                <w:szCs w:val="28"/>
                <w:lang w:val="uk-UA"/>
              </w:rPr>
              <w:t>16</w:t>
            </w:r>
          </w:p>
        </w:tc>
        <w:tc>
          <w:tcPr>
            <w:tcW w:w="8464" w:type="dxa"/>
          </w:tcPr>
          <w:p w14:paraId="19D10EFD">
            <w:pPr>
              <w:tabs>
                <w:tab w:val="left" w:pos="0"/>
              </w:tabs>
              <w:jc w:val="both"/>
              <w:rPr>
                <w:sz w:val="28"/>
                <w:szCs w:val="28"/>
                <w:lang w:val="ru-RU"/>
              </w:rPr>
            </w:pPr>
            <w:r>
              <w:rPr>
                <w:sz w:val="28"/>
                <w:szCs w:val="28"/>
                <w:lang w:val="uk-UA"/>
              </w:rPr>
              <w:t>2 дерева, вул. Руденка, с. Раки</w:t>
            </w:r>
          </w:p>
        </w:tc>
      </w:tr>
      <w:tr w14:paraId="08ED3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459" w:type="dxa"/>
          </w:tcPr>
          <w:p w14:paraId="50E0F1A7">
            <w:pPr>
              <w:tabs>
                <w:tab w:val="left" w:pos="567"/>
              </w:tabs>
              <w:jc w:val="center"/>
              <w:rPr>
                <w:sz w:val="28"/>
                <w:szCs w:val="28"/>
                <w:lang w:val="ru-RU"/>
              </w:rPr>
            </w:pPr>
            <w:r>
              <w:rPr>
                <w:sz w:val="28"/>
                <w:szCs w:val="28"/>
                <w:lang w:val="uk-UA"/>
              </w:rPr>
              <w:t>17</w:t>
            </w:r>
          </w:p>
        </w:tc>
        <w:tc>
          <w:tcPr>
            <w:tcW w:w="8464" w:type="dxa"/>
          </w:tcPr>
          <w:p w14:paraId="0C386FC0">
            <w:pPr>
              <w:tabs>
                <w:tab w:val="left" w:pos="0"/>
              </w:tabs>
              <w:jc w:val="both"/>
              <w:rPr>
                <w:sz w:val="28"/>
                <w:szCs w:val="28"/>
                <w:lang w:val="ru-RU"/>
              </w:rPr>
            </w:pPr>
            <w:r>
              <w:rPr>
                <w:sz w:val="28"/>
                <w:szCs w:val="28"/>
                <w:lang w:val="uk-UA"/>
              </w:rPr>
              <w:t>52 дерева, с. Озаричі, біля клубу та амбулаторії</w:t>
            </w:r>
          </w:p>
        </w:tc>
      </w:tr>
      <w:tr w14:paraId="38103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459" w:type="dxa"/>
          </w:tcPr>
          <w:p w14:paraId="1CA99C8D">
            <w:pPr>
              <w:tabs>
                <w:tab w:val="left" w:pos="567"/>
              </w:tabs>
              <w:jc w:val="center"/>
              <w:rPr>
                <w:sz w:val="28"/>
                <w:szCs w:val="28"/>
                <w:lang w:val="ru-RU"/>
              </w:rPr>
            </w:pPr>
            <w:r>
              <w:rPr>
                <w:sz w:val="28"/>
                <w:szCs w:val="28"/>
                <w:lang w:val="ru-RU"/>
              </w:rPr>
              <w:t>18</w:t>
            </w:r>
          </w:p>
        </w:tc>
        <w:tc>
          <w:tcPr>
            <w:tcW w:w="8464" w:type="dxa"/>
          </w:tcPr>
          <w:p w14:paraId="1E8859ED">
            <w:pPr>
              <w:tabs>
                <w:tab w:val="left" w:pos="0"/>
              </w:tabs>
              <w:jc w:val="both"/>
              <w:rPr>
                <w:sz w:val="28"/>
                <w:szCs w:val="28"/>
                <w:lang w:val="ru-RU"/>
              </w:rPr>
            </w:pPr>
            <w:r>
              <w:rPr>
                <w:sz w:val="28"/>
                <w:szCs w:val="28"/>
                <w:lang w:val="uk-UA"/>
              </w:rPr>
              <w:t>36 дерев, с. Мельня, вул. Батуринська</w:t>
            </w:r>
          </w:p>
        </w:tc>
      </w:tr>
      <w:tr w14:paraId="33D80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459" w:type="dxa"/>
          </w:tcPr>
          <w:p w14:paraId="3B8AFBD9">
            <w:pPr>
              <w:tabs>
                <w:tab w:val="left" w:pos="567"/>
              </w:tabs>
              <w:jc w:val="center"/>
              <w:rPr>
                <w:sz w:val="28"/>
                <w:szCs w:val="28"/>
                <w:lang w:val="uk-UA"/>
              </w:rPr>
            </w:pPr>
            <w:r>
              <w:rPr>
                <w:sz w:val="28"/>
                <w:szCs w:val="28"/>
                <w:lang w:val="uk-UA"/>
              </w:rPr>
              <w:t>19</w:t>
            </w:r>
          </w:p>
        </w:tc>
        <w:tc>
          <w:tcPr>
            <w:tcW w:w="8464" w:type="dxa"/>
          </w:tcPr>
          <w:p w14:paraId="37C7B94E">
            <w:pPr>
              <w:tabs>
                <w:tab w:val="left" w:pos="0"/>
              </w:tabs>
              <w:jc w:val="both"/>
              <w:rPr>
                <w:sz w:val="28"/>
                <w:szCs w:val="28"/>
                <w:lang w:val="ru-RU"/>
              </w:rPr>
            </w:pPr>
            <w:r>
              <w:rPr>
                <w:sz w:val="28"/>
                <w:szCs w:val="28"/>
                <w:lang w:val="ru-RU"/>
              </w:rPr>
              <w:t>20 дерев, с. Попівка, вул.Північна</w:t>
            </w:r>
          </w:p>
        </w:tc>
      </w:tr>
      <w:tr w14:paraId="7E6DE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459" w:type="dxa"/>
          </w:tcPr>
          <w:p w14:paraId="0FEACC8C">
            <w:pPr>
              <w:tabs>
                <w:tab w:val="left" w:pos="567"/>
              </w:tabs>
              <w:rPr>
                <w:sz w:val="28"/>
                <w:szCs w:val="28"/>
                <w:lang w:val="ru-RU"/>
              </w:rPr>
            </w:pPr>
            <w:r>
              <w:rPr>
                <w:sz w:val="28"/>
                <w:szCs w:val="28"/>
                <w:lang w:val="uk-UA"/>
              </w:rPr>
              <w:t>Всього</w:t>
            </w:r>
          </w:p>
        </w:tc>
        <w:tc>
          <w:tcPr>
            <w:tcW w:w="8464" w:type="dxa"/>
          </w:tcPr>
          <w:p w14:paraId="6E12DC95">
            <w:pPr>
              <w:tabs>
                <w:tab w:val="left" w:pos="311"/>
              </w:tabs>
              <w:rPr>
                <w:sz w:val="28"/>
                <w:szCs w:val="28"/>
                <w:lang w:val="ru-RU"/>
              </w:rPr>
            </w:pPr>
            <w:r>
              <w:rPr>
                <w:sz w:val="28"/>
                <w:szCs w:val="28"/>
                <w:lang w:val="ru-RU"/>
              </w:rPr>
              <w:t>583 дерева</w:t>
            </w:r>
          </w:p>
        </w:tc>
      </w:tr>
    </w:tbl>
    <w:p w14:paraId="4639F8EC">
      <w:pPr>
        <w:rPr>
          <w:b/>
          <w:sz w:val="28"/>
          <w:szCs w:val="28"/>
        </w:rPr>
      </w:pPr>
    </w:p>
    <w:p w14:paraId="2AFE19E5">
      <w:pPr>
        <w:rPr>
          <w:b/>
          <w:sz w:val="28"/>
          <w:szCs w:val="28"/>
        </w:rPr>
      </w:pPr>
    </w:p>
    <w:p w14:paraId="1FAC73B8">
      <w:pPr>
        <w:rPr>
          <w:b/>
          <w:sz w:val="28"/>
          <w:szCs w:val="28"/>
        </w:rPr>
      </w:pPr>
    </w:p>
    <w:p w14:paraId="5137BF7A">
      <w:pPr>
        <w:rPr>
          <w:b/>
          <w:sz w:val="28"/>
          <w:szCs w:val="28"/>
        </w:rPr>
      </w:pPr>
      <w:r>
        <w:rPr>
          <w:rFonts w:eastAsia="Times New Roman"/>
          <w:b/>
          <w:bCs/>
          <w:sz w:val="30"/>
          <w:lang w:eastAsia="uk-UA"/>
        </w:rPr>
        <w:t xml:space="preserve">      Секретар ради</w:t>
      </w:r>
      <w:r>
        <w:rPr>
          <w:b/>
          <w:sz w:val="28"/>
          <w:szCs w:val="28"/>
        </w:rPr>
        <w:tab/>
      </w:r>
      <w:r>
        <w:rPr>
          <w:b/>
          <w:sz w:val="28"/>
          <w:szCs w:val="28"/>
        </w:rPr>
        <w:tab/>
      </w:r>
      <w:r>
        <w:rPr>
          <w:b/>
          <w:sz w:val="28"/>
          <w:szCs w:val="28"/>
        </w:rPr>
        <w:tab/>
      </w:r>
      <w:r>
        <w:rPr>
          <w:b/>
          <w:sz w:val="28"/>
          <w:szCs w:val="28"/>
        </w:rPr>
        <w:tab/>
      </w:r>
      <w:r>
        <w:rPr>
          <w:b/>
          <w:sz w:val="28"/>
          <w:szCs w:val="28"/>
        </w:rPr>
        <w:t xml:space="preserve">             </w:t>
      </w:r>
      <w:r>
        <w:rPr>
          <w:rFonts w:eastAsia="Times New Roman"/>
          <w:b/>
          <w:bCs/>
          <w:sz w:val="30"/>
          <w:lang w:eastAsia="uk-UA"/>
        </w:rPr>
        <w:t>Валентина МАЛІГОН</w:t>
      </w:r>
    </w:p>
    <w:sectPr>
      <w:pgSz w:w="11906" w:h="16838"/>
      <w:pgMar w:top="567" w:right="850" w:bottom="1134" w:left="170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CC"/>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 w:name="Peterburg">
    <w:altName w:val="Courier New"/>
    <w:panose1 w:val="00000000000000000000"/>
    <w:charset w:val="00"/>
    <w:family w:val="swiss"/>
    <w:pitch w:val="default"/>
    <w:sig w:usb0="00000000" w:usb1="00000000" w:usb2="00000000" w:usb3="00000000" w:csb0="0000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7"/>
      <w:lvlText w:val=""/>
      <w:lvlJc w:val="left"/>
      <w:pPr>
        <w:tabs>
          <w:tab w:val="left" w:pos="360"/>
        </w:tabs>
        <w:ind w:left="360" w:hanging="360"/>
      </w:pPr>
      <w:rPr>
        <w:rFonts w:hint="default" w:ascii="Symbol" w:hAnsi="Symbol"/>
      </w:rPr>
    </w:lvl>
  </w:abstractNum>
  <w:abstractNum w:abstractNumId="1">
    <w:nsid w:val="138D453B"/>
    <w:multiLevelType w:val="multilevel"/>
    <w:tmpl w:val="138D453B"/>
    <w:lvl w:ilvl="0" w:tentative="0">
      <w:start w:val="1"/>
      <w:numFmt w:val="decimal"/>
      <w:lvlText w:val="%1."/>
      <w:lvlJc w:val="left"/>
      <w:pPr>
        <w:ind w:left="930" w:hanging="360"/>
      </w:pPr>
      <w:rPr>
        <w:rFonts w:hint="default"/>
      </w:rPr>
    </w:lvl>
    <w:lvl w:ilvl="1" w:tentative="0">
      <w:start w:val="1"/>
      <w:numFmt w:val="lowerLetter"/>
      <w:lvlText w:val="%2."/>
      <w:lvlJc w:val="left"/>
      <w:pPr>
        <w:ind w:left="1650" w:hanging="360"/>
      </w:pPr>
    </w:lvl>
    <w:lvl w:ilvl="2" w:tentative="0">
      <w:start w:val="1"/>
      <w:numFmt w:val="lowerRoman"/>
      <w:lvlText w:val="%3."/>
      <w:lvlJc w:val="right"/>
      <w:pPr>
        <w:ind w:left="2370" w:hanging="180"/>
      </w:pPr>
    </w:lvl>
    <w:lvl w:ilvl="3" w:tentative="0">
      <w:start w:val="1"/>
      <w:numFmt w:val="decimal"/>
      <w:lvlText w:val="%4."/>
      <w:lvlJc w:val="left"/>
      <w:pPr>
        <w:ind w:left="3090" w:hanging="360"/>
      </w:pPr>
    </w:lvl>
    <w:lvl w:ilvl="4" w:tentative="0">
      <w:start w:val="1"/>
      <w:numFmt w:val="lowerLetter"/>
      <w:lvlText w:val="%5."/>
      <w:lvlJc w:val="left"/>
      <w:pPr>
        <w:ind w:left="3810" w:hanging="360"/>
      </w:pPr>
    </w:lvl>
    <w:lvl w:ilvl="5" w:tentative="0">
      <w:start w:val="1"/>
      <w:numFmt w:val="lowerRoman"/>
      <w:lvlText w:val="%6."/>
      <w:lvlJc w:val="right"/>
      <w:pPr>
        <w:ind w:left="4530" w:hanging="180"/>
      </w:pPr>
    </w:lvl>
    <w:lvl w:ilvl="6" w:tentative="0">
      <w:start w:val="1"/>
      <w:numFmt w:val="decimal"/>
      <w:lvlText w:val="%7."/>
      <w:lvlJc w:val="left"/>
      <w:pPr>
        <w:ind w:left="5250" w:hanging="360"/>
      </w:pPr>
    </w:lvl>
    <w:lvl w:ilvl="7" w:tentative="0">
      <w:start w:val="1"/>
      <w:numFmt w:val="lowerLetter"/>
      <w:lvlText w:val="%8."/>
      <w:lvlJc w:val="left"/>
      <w:pPr>
        <w:ind w:left="5970" w:hanging="360"/>
      </w:pPr>
    </w:lvl>
    <w:lvl w:ilvl="8" w:tentative="0">
      <w:start w:val="1"/>
      <w:numFmt w:val="lowerRoman"/>
      <w:lvlText w:val="%9."/>
      <w:lvlJc w:val="right"/>
      <w:pPr>
        <w:ind w:left="669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839"/>
    <w:rsid w:val="00010839"/>
    <w:rsid w:val="00082C16"/>
    <w:rsid w:val="000B0E5A"/>
    <w:rsid w:val="001C7F8B"/>
    <w:rsid w:val="0020225B"/>
    <w:rsid w:val="002F3E6E"/>
    <w:rsid w:val="00323396"/>
    <w:rsid w:val="003557F5"/>
    <w:rsid w:val="003730C1"/>
    <w:rsid w:val="003A4B0C"/>
    <w:rsid w:val="003F4C85"/>
    <w:rsid w:val="004420CA"/>
    <w:rsid w:val="0045119F"/>
    <w:rsid w:val="00506D61"/>
    <w:rsid w:val="005C0C52"/>
    <w:rsid w:val="005C4924"/>
    <w:rsid w:val="00680F8E"/>
    <w:rsid w:val="006A0E2B"/>
    <w:rsid w:val="007B4FDB"/>
    <w:rsid w:val="0084648B"/>
    <w:rsid w:val="008A1496"/>
    <w:rsid w:val="008A4791"/>
    <w:rsid w:val="008A4EE2"/>
    <w:rsid w:val="008B29B4"/>
    <w:rsid w:val="008F03CC"/>
    <w:rsid w:val="00940C43"/>
    <w:rsid w:val="00B63805"/>
    <w:rsid w:val="00B900CF"/>
    <w:rsid w:val="00C43D06"/>
    <w:rsid w:val="00C7218A"/>
    <w:rsid w:val="00C8508F"/>
    <w:rsid w:val="00CA0F1C"/>
    <w:rsid w:val="00CA3ADC"/>
    <w:rsid w:val="00E43D55"/>
    <w:rsid w:val="00ED5E0E"/>
    <w:rsid w:val="00EF7B56"/>
    <w:rsid w:val="00F06DCB"/>
    <w:rsid w:val="00FA04B7"/>
    <w:rsid w:val="06FC31D4"/>
    <w:rsid w:val="30D00FF3"/>
    <w:rsid w:val="33CC302D"/>
    <w:rsid w:val="466615C7"/>
    <w:rsid w:val="487A1D58"/>
    <w:rsid w:val="524611C0"/>
    <w:rsid w:val="7EC30DE8"/>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34" w:semiHidden="0" w:name="List Paragraph"/>
  </w:latentStyles>
  <w:style w:type="paragraph" w:default="1" w:styleId="1">
    <w:name w:val="Normal"/>
    <w:autoRedefine/>
    <w:qFormat/>
    <w:uiPriority w:val="0"/>
    <w:rPr>
      <w:rFonts w:ascii="Times New Roman" w:hAnsi="Times New Roman" w:eastAsia="Calibri" w:cs="Times New Roman"/>
      <w:lang w:val="uk-UA" w:eastAsia="ru-RU"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Strong"/>
    <w:qFormat/>
    <w:uiPriority w:val="0"/>
    <w:rPr>
      <w:b/>
      <w:bCs/>
    </w:rPr>
  </w:style>
  <w:style w:type="paragraph" w:styleId="5">
    <w:name w:val="Balloon Text"/>
    <w:basedOn w:val="1"/>
    <w:link w:val="12"/>
    <w:autoRedefine/>
    <w:semiHidden/>
    <w:unhideWhenUsed/>
    <w:qFormat/>
    <w:uiPriority w:val="99"/>
    <w:rPr>
      <w:rFonts w:ascii="Segoe UI" w:hAnsi="Segoe UI" w:cs="Segoe UI"/>
      <w:sz w:val="18"/>
      <w:szCs w:val="18"/>
    </w:rPr>
  </w:style>
  <w:style w:type="paragraph" w:styleId="6">
    <w:name w:val="Body Text"/>
    <w:basedOn w:val="1"/>
    <w:link w:val="11"/>
    <w:autoRedefine/>
    <w:qFormat/>
    <w:uiPriority w:val="99"/>
    <w:pPr>
      <w:tabs>
        <w:tab w:val="left" w:pos="2130"/>
      </w:tabs>
    </w:pPr>
    <w:rPr>
      <w:rFonts w:eastAsia="Times New Roman"/>
      <w:sz w:val="28"/>
      <w:szCs w:val="14"/>
    </w:rPr>
  </w:style>
  <w:style w:type="paragraph" w:styleId="7">
    <w:name w:val="List Bullet"/>
    <w:basedOn w:val="1"/>
    <w:autoRedefine/>
    <w:unhideWhenUsed/>
    <w:qFormat/>
    <w:uiPriority w:val="99"/>
    <w:pPr>
      <w:numPr>
        <w:ilvl w:val="0"/>
        <w:numId w:val="1"/>
      </w:numPr>
      <w:contextualSpacing/>
    </w:pPr>
  </w:style>
  <w:style w:type="table" w:styleId="8">
    <w:name w:val="Table Grid"/>
    <w:basedOn w:val="3"/>
    <w:autoRedefine/>
    <w:qFormat/>
    <w:uiPriority w:val="59"/>
    <w:rPr>
      <w:lang w:val="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autoRedefine/>
    <w:qFormat/>
    <w:uiPriority w:val="34"/>
    <w:pPr>
      <w:ind w:left="720"/>
      <w:contextualSpacing/>
    </w:pPr>
  </w:style>
  <w:style w:type="character" w:customStyle="1" w:styleId="10">
    <w:name w:val="fontstyle13"/>
    <w:autoRedefine/>
    <w:qFormat/>
    <w:uiPriority w:val="0"/>
  </w:style>
  <w:style w:type="character" w:customStyle="1" w:styleId="11">
    <w:name w:val="Основной текст Знак"/>
    <w:basedOn w:val="2"/>
    <w:link w:val="6"/>
    <w:qFormat/>
    <w:uiPriority w:val="99"/>
    <w:rPr>
      <w:rFonts w:ascii="Times New Roman" w:hAnsi="Times New Roman" w:eastAsia="Times New Roman" w:cs="Times New Roman"/>
      <w:sz w:val="28"/>
      <w:szCs w:val="14"/>
      <w:lang w:eastAsia="ru-RU"/>
    </w:rPr>
  </w:style>
  <w:style w:type="character" w:customStyle="1" w:styleId="12">
    <w:name w:val="Текст выноски Знак"/>
    <w:basedOn w:val="2"/>
    <w:link w:val="5"/>
    <w:autoRedefine/>
    <w:semiHidden/>
    <w:qFormat/>
    <w:uiPriority w:val="99"/>
    <w:rPr>
      <w:rFonts w:ascii="Segoe UI" w:hAnsi="Segoe UI" w:eastAsia="Calibri" w:cs="Segoe UI"/>
      <w:sz w:val="18"/>
      <w:szCs w:val="18"/>
      <w:lang w:eastAsia="ru-RU"/>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file:///C:\MSOffice\Clipart\GERB.BMP" TargetMode="Externa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3459</Words>
  <Characters>1972</Characters>
  <Lines>16</Lines>
  <Paragraphs>10</Paragraphs>
  <TotalTime>110</TotalTime>
  <ScaleCrop>false</ScaleCrop>
  <LinksUpToDate>false</LinksUpToDate>
  <CharactersWithSpaces>5421</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2024-06-26T11:52:00Z</dcterms:created>
  <dc:creator>Admin</dc:creator>
  <cp:lastModifiedBy>Галина Шкареда</cp:lastModifiedBy>
  <cp:lastPrinted>2025-02-11T08:23:00Z</cp:lastPrinted>
  <dcterms:modified xsi:type="dcterms:W3CDTF">2025-02-24T12:21:48Z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963F514099DF471680189BD73E54C0D4_13</vt:lpwstr>
  </property>
</Properties>
</file>