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5FE6D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31706B6E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283F6923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607B81DE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6C509D8A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ІМДЕСЯТА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7B17E9E6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4FDCD2F9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77B6EE95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70D2938F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24.01.2025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307567C8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CAC64E9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256D198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3FD8CB99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та мобілізаційної підготовки на 2025 рік </w:t>
      </w:r>
    </w:p>
    <w:p w14:paraId="4517F3C6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0E3E083C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військової частини Збройних Сил України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5BDF16FB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7311097F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згідно додатку, що додається.</w:t>
      </w:r>
    </w:p>
    <w:p w14:paraId="22CFD9D3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557A965F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6D8FB05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B333E4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2E4A765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ADE308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0B2254C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37AFCAF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  <w:sectPr>
          <w:pgSz w:w="11906" w:h="16838"/>
          <w:pgMar w:top="1134" w:right="567" w:bottom="1134" w:left="1701" w:header="0" w:footer="0" w:gutter="0"/>
          <w:pgNumType w:fmt="decimal"/>
          <w:cols w:space="720" w:num="1"/>
          <w:formProt w:val="0"/>
          <w:docGrid w:linePitch="360" w:charSpace="4096"/>
        </w:sectPr>
      </w:pPr>
      <w:r>
        <w:rPr>
          <w:rFonts w:ascii="Times New Roman" w:hAnsi="Times New Roman" w:cs="Times New Roman"/>
          <w:shd w:val="clear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управлінню фінансів та економіки – 1.</w:t>
      </w:r>
    </w:p>
    <w:p w14:paraId="2EDCE2A0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5966384"/>
      <w:docPartObj>
        <w:docPartGallery w:val="AutoText"/>
      </w:docPartObj>
    </w:sdtPr>
    <w:sdtContent>
      <w:p w14:paraId="66D91A15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52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uiPriority w:val="0"/>
    <w:rPr>
      <w:rFonts w:cs="Arial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1387</Words>
  <Characters>10019</Characters>
  <Paragraphs>110</Paragraphs>
  <TotalTime>4497</TotalTime>
  <ScaleCrop>false</ScaleCrop>
  <LinksUpToDate>false</LinksUpToDate>
  <CharactersWithSpaces>11823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2024-08-08T11:20:00Z</cp:lastPrinted>
  <dcterms:modified xsi:type="dcterms:W3CDTF">2025-01-31T08:18:00Z</dcterms:modified>
  <cp:revision>791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2034B5CE18F3497FB9D7A512977DC710_12</vt:lpwstr>
  </property>
</Properties>
</file>