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C2A" w:rsidRPr="003874AB" w:rsidRDefault="001D2C2A" w:rsidP="001D2C2A">
      <w:pPr>
        <w:jc w:val="center"/>
        <w:rPr>
          <w:b/>
          <w:sz w:val="28"/>
          <w:szCs w:val="28"/>
          <w:lang w:val="uk-UA"/>
        </w:rPr>
      </w:pPr>
      <w:bookmarkStart w:id="0" w:name="_GoBack"/>
      <w:bookmarkEnd w:id="0"/>
      <w:r w:rsidRPr="003874AB">
        <w:rPr>
          <w:b/>
          <w:sz w:val="28"/>
          <w:szCs w:val="28"/>
          <w:lang w:val="uk-UA"/>
        </w:rPr>
        <w:t>ЗВІТ</w:t>
      </w:r>
    </w:p>
    <w:p w:rsidR="00AC7A1E" w:rsidRPr="004F2254" w:rsidRDefault="00B844A7" w:rsidP="00AC7A1E">
      <w:pPr>
        <w:jc w:val="center"/>
        <w:rPr>
          <w:b/>
          <w:sz w:val="27"/>
          <w:szCs w:val="27"/>
          <w:lang w:val="uk-UA"/>
        </w:rPr>
      </w:pPr>
      <w:r w:rsidRPr="004F2254">
        <w:rPr>
          <w:b/>
          <w:sz w:val="27"/>
          <w:szCs w:val="27"/>
          <w:lang w:val="uk-UA"/>
        </w:rPr>
        <w:t xml:space="preserve">про </w:t>
      </w:r>
      <w:r w:rsidR="004F2254" w:rsidRPr="004F2254">
        <w:rPr>
          <w:b/>
          <w:sz w:val="27"/>
          <w:szCs w:val="27"/>
          <w:lang w:val="uk-UA"/>
        </w:rPr>
        <w:t>повторн</w:t>
      </w:r>
      <w:r w:rsidRPr="004F2254">
        <w:rPr>
          <w:b/>
          <w:sz w:val="27"/>
          <w:szCs w:val="27"/>
          <w:lang w:val="uk-UA"/>
        </w:rPr>
        <w:t>е</w:t>
      </w:r>
      <w:r w:rsidR="001D2C2A" w:rsidRPr="004F2254">
        <w:rPr>
          <w:b/>
          <w:sz w:val="27"/>
          <w:szCs w:val="27"/>
          <w:lang w:val="uk-UA"/>
        </w:rPr>
        <w:t xml:space="preserve"> відстеження резул</w:t>
      </w:r>
      <w:r w:rsidR="00AC7A1E" w:rsidRPr="004F2254">
        <w:rPr>
          <w:b/>
          <w:sz w:val="27"/>
          <w:szCs w:val="27"/>
          <w:lang w:val="uk-UA"/>
        </w:rPr>
        <w:t xml:space="preserve">ьтативності регуляторного акта  </w:t>
      </w:r>
      <w:r w:rsidR="001D2C2A" w:rsidRPr="004F2254">
        <w:rPr>
          <w:b/>
          <w:sz w:val="27"/>
          <w:szCs w:val="27"/>
          <w:lang w:val="uk-UA"/>
        </w:rPr>
        <w:t xml:space="preserve">рішення </w:t>
      </w:r>
      <w:r w:rsidRPr="004F2254">
        <w:rPr>
          <w:b/>
          <w:sz w:val="27"/>
          <w:szCs w:val="27"/>
          <w:lang w:val="uk-UA"/>
        </w:rPr>
        <w:t xml:space="preserve">Попівської </w:t>
      </w:r>
      <w:r w:rsidR="001D2C2A" w:rsidRPr="004F2254">
        <w:rPr>
          <w:b/>
          <w:sz w:val="27"/>
          <w:szCs w:val="27"/>
          <w:lang w:val="uk-UA"/>
        </w:rPr>
        <w:t>сільської ради Конотопського району Сумсь</w:t>
      </w:r>
      <w:r w:rsidR="000D618E" w:rsidRPr="004F2254">
        <w:rPr>
          <w:b/>
          <w:sz w:val="27"/>
          <w:szCs w:val="27"/>
          <w:lang w:val="uk-UA"/>
        </w:rPr>
        <w:t xml:space="preserve">кої </w:t>
      </w:r>
      <w:r w:rsidR="00080A12" w:rsidRPr="004F2254">
        <w:rPr>
          <w:b/>
          <w:sz w:val="27"/>
          <w:szCs w:val="27"/>
          <w:lang w:val="uk-UA"/>
        </w:rPr>
        <w:t>області</w:t>
      </w:r>
    </w:p>
    <w:p w:rsidR="001D2C2A" w:rsidRPr="004F2254" w:rsidRDefault="000D618E" w:rsidP="00AC7A1E">
      <w:pPr>
        <w:jc w:val="center"/>
        <w:rPr>
          <w:b/>
          <w:sz w:val="27"/>
          <w:szCs w:val="27"/>
          <w:lang w:val="uk-UA"/>
        </w:rPr>
      </w:pPr>
      <w:r w:rsidRPr="004F2254">
        <w:rPr>
          <w:b/>
          <w:sz w:val="27"/>
          <w:szCs w:val="27"/>
          <w:lang w:val="uk-UA"/>
        </w:rPr>
        <w:t xml:space="preserve">«Про </w:t>
      </w:r>
      <w:r w:rsidR="00A973B7" w:rsidRPr="004F2254">
        <w:rPr>
          <w:b/>
          <w:sz w:val="27"/>
          <w:szCs w:val="27"/>
          <w:lang w:val="uk-UA"/>
        </w:rPr>
        <w:t>затвердження мінімального розміру місячної орендної плати за один квадратний метр загальної площі нерухомого майна фізичних осіб на території Попівської сільської територіальної громади</w:t>
      </w:r>
      <w:r w:rsidR="00B844A7" w:rsidRPr="004F2254">
        <w:rPr>
          <w:b/>
          <w:sz w:val="27"/>
          <w:szCs w:val="27"/>
          <w:lang w:val="uk-UA"/>
        </w:rPr>
        <w:t>»</w:t>
      </w:r>
    </w:p>
    <w:p w:rsidR="001D2C2A" w:rsidRPr="003874AB" w:rsidRDefault="001D2C2A" w:rsidP="001D2C2A">
      <w:pPr>
        <w:widowControl w:val="0"/>
        <w:autoSpaceDE w:val="0"/>
        <w:autoSpaceDN w:val="0"/>
        <w:adjustRightInd w:val="0"/>
        <w:jc w:val="both"/>
        <w:rPr>
          <w:b/>
          <w:sz w:val="27"/>
          <w:szCs w:val="27"/>
          <w:lang w:val="uk-UA"/>
        </w:rPr>
      </w:pPr>
    </w:p>
    <w:p w:rsidR="001D2C2A" w:rsidRPr="003874AB" w:rsidRDefault="001D2C2A" w:rsidP="001D2C2A">
      <w:pPr>
        <w:ind w:firstLine="708"/>
        <w:jc w:val="both"/>
        <w:rPr>
          <w:b/>
          <w:sz w:val="27"/>
          <w:szCs w:val="27"/>
          <w:lang w:val="uk-UA"/>
        </w:rPr>
      </w:pPr>
      <w:r w:rsidRPr="003874AB">
        <w:rPr>
          <w:b/>
          <w:sz w:val="27"/>
          <w:szCs w:val="27"/>
          <w:lang w:val="uk-UA"/>
        </w:rPr>
        <w:t xml:space="preserve">1. Вид та назва регуляторного акта: </w:t>
      </w:r>
    </w:p>
    <w:p w:rsidR="00A973B7" w:rsidRPr="00A973B7" w:rsidRDefault="001D2C2A" w:rsidP="00A973B7">
      <w:pPr>
        <w:jc w:val="both"/>
        <w:rPr>
          <w:sz w:val="28"/>
          <w:szCs w:val="28"/>
          <w:lang w:val="uk-UA"/>
        </w:rPr>
      </w:pPr>
      <w:r w:rsidRPr="003874AB">
        <w:rPr>
          <w:sz w:val="27"/>
          <w:szCs w:val="27"/>
          <w:lang w:val="uk-UA"/>
        </w:rPr>
        <w:t xml:space="preserve">Рішення </w:t>
      </w:r>
      <w:r w:rsidR="00B844A7" w:rsidRPr="003874AB">
        <w:rPr>
          <w:sz w:val="27"/>
          <w:szCs w:val="27"/>
          <w:lang w:val="uk-UA"/>
        </w:rPr>
        <w:t>Попівської сільської ради Конотопського району Сумської</w:t>
      </w:r>
      <w:r w:rsidR="00080A12" w:rsidRPr="003874AB">
        <w:rPr>
          <w:sz w:val="27"/>
          <w:szCs w:val="27"/>
          <w:lang w:val="uk-UA"/>
        </w:rPr>
        <w:t xml:space="preserve"> області</w:t>
      </w:r>
      <w:r w:rsidR="00B844A7" w:rsidRPr="003874AB">
        <w:rPr>
          <w:sz w:val="27"/>
          <w:szCs w:val="27"/>
          <w:lang w:val="uk-UA"/>
        </w:rPr>
        <w:t xml:space="preserve"> </w:t>
      </w:r>
      <w:r w:rsidR="00A973B7" w:rsidRPr="00A973B7">
        <w:rPr>
          <w:sz w:val="28"/>
          <w:szCs w:val="28"/>
          <w:lang w:val="uk-UA"/>
        </w:rPr>
        <w:t>«Про затвердження мінімального розміру місячної орендної плати за один квадратний метр загальної площі нерухомого майна фізичних осіб на території Попівської сільської територіальної громади»</w:t>
      </w:r>
    </w:p>
    <w:p w:rsidR="001D2C2A" w:rsidRPr="003874AB" w:rsidRDefault="0015484E" w:rsidP="0015484E">
      <w:pPr>
        <w:ind w:firstLine="284"/>
        <w:jc w:val="both"/>
        <w:rPr>
          <w:b/>
          <w:sz w:val="27"/>
          <w:szCs w:val="27"/>
          <w:lang w:val="uk-UA"/>
        </w:rPr>
      </w:pPr>
      <w:r>
        <w:rPr>
          <w:sz w:val="27"/>
          <w:szCs w:val="27"/>
          <w:lang w:val="uk-UA"/>
        </w:rPr>
        <w:t xml:space="preserve">    </w:t>
      </w:r>
      <w:r w:rsidR="005F09DA">
        <w:rPr>
          <w:sz w:val="27"/>
          <w:szCs w:val="27"/>
          <w:lang w:val="uk-UA"/>
        </w:rPr>
        <w:t xml:space="preserve"> </w:t>
      </w:r>
      <w:r w:rsidR="001D2C2A" w:rsidRPr="003874AB">
        <w:rPr>
          <w:b/>
          <w:sz w:val="27"/>
          <w:szCs w:val="27"/>
          <w:lang w:val="uk-UA"/>
        </w:rPr>
        <w:t xml:space="preserve">2. Виконавець заходів з відстеження: </w:t>
      </w:r>
    </w:p>
    <w:p w:rsidR="001D2C2A" w:rsidRPr="003874AB" w:rsidRDefault="001D2C2A" w:rsidP="001D2C2A">
      <w:pPr>
        <w:ind w:firstLine="708"/>
        <w:jc w:val="both"/>
        <w:rPr>
          <w:sz w:val="27"/>
          <w:szCs w:val="27"/>
          <w:lang w:val="uk-UA"/>
        </w:rPr>
      </w:pPr>
      <w:r w:rsidRPr="003874AB">
        <w:rPr>
          <w:sz w:val="27"/>
          <w:szCs w:val="27"/>
          <w:lang w:val="uk-UA"/>
        </w:rPr>
        <w:t>Управляння фінансів та економіки Попівської сільської ради Конотопського району Сумської області.</w:t>
      </w:r>
    </w:p>
    <w:p w:rsidR="001D2C2A" w:rsidRPr="003874AB" w:rsidRDefault="001D2C2A" w:rsidP="001D2C2A">
      <w:pPr>
        <w:ind w:firstLine="708"/>
        <w:jc w:val="both"/>
        <w:rPr>
          <w:b/>
          <w:sz w:val="27"/>
          <w:szCs w:val="27"/>
          <w:lang w:val="uk-UA"/>
        </w:rPr>
      </w:pPr>
      <w:r w:rsidRPr="003874AB">
        <w:rPr>
          <w:b/>
          <w:sz w:val="27"/>
          <w:szCs w:val="27"/>
          <w:lang w:val="uk-UA"/>
        </w:rPr>
        <w:t xml:space="preserve">3.Цілі прийняття акта: </w:t>
      </w:r>
    </w:p>
    <w:p w:rsidR="001D2C2A" w:rsidRPr="003874AB" w:rsidRDefault="001D2C2A" w:rsidP="001D2C2A">
      <w:pPr>
        <w:ind w:firstLine="567"/>
        <w:jc w:val="both"/>
        <w:rPr>
          <w:sz w:val="27"/>
          <w:szCs w:val="27"/>
          <w:lang w:val="uk-UA"/>
        </w:rPr>
      </w:pPr>
      <w:r w:rsidRPr="003874AB">
        <w:rPr>
          <w:sz w:val="27"/>
          <w:szCs w:val="27"/>
          <w:lang w:val="uk-UA"/>
        </w:rPr>
        <w:t>- здійсн</w:t>
      </w:r>
      <w:r w:rsidR="00675264">
        <w:rPr>
          <w:sz w:val="27"/>
          <w:szCs w:val="27"/>
          <w:lang w:val="uk-UA"/>
        </w:rPr>
        <w:t>ення</w:t>
      </w:r>
      <w:r w:rsidRPr="003874AB">
        <w:rPr>
          <w:sz w:val="27"/>
          <w:szCs w:val="27"/>
          <w:lang w:val="uk-UA"/>
        </w:rPr>
        <w:t xml:space="preserve"> планування та прогнозування надходжень </w:t>
      </w:r>
      <w:r w:rsidR="00A973B7">
        <w:rPr>
          <w:sz w:val="27"/>
          <w:szCs w:val="27"/>
          <w:lang w:val="uk-UA"/>
        </w:rPr>
        <w:t xml:space="preserve">податку на доходи  фізичних осіб </w:t>
      </w:r>
      <w:r w:rsidRPr="003874AB">
        <w:rPr>
          <w:sz w:val="27"/>
          <w:szCs w:val="27"/>
          <w:lang w:val="uk-UA"/>
        </w:rPr>
        <w:t xml:space="preserve"> при формуванні бюджету</w:t>
      </w:r>
      <w:r w:rsidR="00A75F43" w:rsidRPr="003874AB">
        <w:rPr>
          <w:sz w:val="27"/>
          <w:szCs w:val="27"/>
          <w:lang w:val="uk-UA"/>
        </w:rPr>
        <w:t xml:space="preserve"> територіальної громади</w:t>
      </w:r>
      <w:r w:rsidRPr="003874AB">
        <w:rPr>
          <w:sz w:val="27"/>
          <w:szCs w:val="27"/>
          <w:lang w:val="uk-UA"/>
        </w:rPr>
        <w:t>;</w:t>
      </w:r>
    </w:p>
    <w:p w:rsidR="00675264" w:rsidRDefault="001D2C2A" w:rsidP="001D2C2A">
      <w:pPr>
        <w:ind w:firstLine="567"/>
        <w:jc w:val="both"/>
        <w:rPr>
          <w:sz w:val="27"/>
          <w:szCs w:val="27"/>
          <w:lang w:val="uk-UA"/>
        </w:rPr>
      </w:pPr>
      <w:r w:rsidRPr="003874AB">
        <w:rPr>
          <w:sz w:val="27"/>
          <w:szCs w:val="27"/>
          <w:lang w:val="uk-UA"/>
        </w:rPr>
        <w:t xml:space="preserve">- </w:t>
      </w:r>
      <w:r w:rsidR="00A973B7">
        <w:rPr>
          <w:sz w:val="27"/>
          <w:szCs w:val="27"/>
          <w:lang w:val="uk-UA"/>
        </w:rPr>
        <w:t>впорядкування  розміру мінімальної вартості місячної оренди одного квадратного метра нерухо</w:t>
      </w:r>
      <w:r w:rsidR="00675264">
        <w:rPr>
          <w:sz w:val="27"/>
          <w:szCs w:val="27"/>
          <w:lang w:val="uk-UA"/>
        </w:rPr>
        <w:t>мого майна на території громади;</w:t>
      </w:r>
    </w:p>
    <w:p w:rsidR="004130A5" w:rsidRDefault="00675264" w:rsidP="004130A5">
      <w:pPr>
        <w:pStyle w:val="a3"/>
        <w:spacing w:after="0"/>
        <w:ind w:firstLine="567"/>
        <w:jc w:val="both"/>
        <w:rPr>
          <w:sz w:val="28"/>
          <w:szCs w:val="28"/>
          <w:lang w:val="uk-UA"/>
        </w:rPr>
      </w:pPr>
      <w:r>
        <w:rPr>
          <w:sz w:val="27"/>
          <w:szCs w:val="27"/>
          <w:lang w:val="uk-UA"/>
        </w:rPr>
        <w:t xml:space="preserve"> </w:t>
      </w:r>
      <w:r w:rsidR="004130A5">
        <w:rPr>
          <w:sz w:val="28"/>
          <w:szCs w:val="28"/>
          <w:lang w:val="uk-UA"/>
        </w:rPr>
        <w:t>-</w:t>
      </w:r>
      <w:r w:rsidR="004130A5" w:rsidRPr="00F0182D">
        <w:rPr>
          <w:sz w:val="28"/>
          <w:szCs w:val="28"/>
          <w:lang w:val="uk-UA"/>
        </w:rPr>
        <w:t xml:space="preserve">врегулювання відносин між орендарями, орендодавцями та Державною податковою службою України в частині нарахування (сплати)податку на доходи фізичних осіб від надання майна в лізинг, оренду </w:t>
      </w:r>
      <w:proofErr w:type="spellStart"/>
      <w:r w:rsidR="004130A5" w:rsidRPr="00F0182D">
        <w:rPr>
          <w:sz w:val="28"/>
          <w:szCs w:val="28"/>
          <w:lang w:val="uk-UA"/>
        </w:rPr>
        <w:t>абосуборенду</w:t>
      </w:r>
      <w:proofErr w:type="spellEnd"/>
      <w:r w:rsidR="004130A5" w:rsidRPr="00F0182D">
        <w:rPr>
          <w:sz w:val="28"/>
          <w:szCs w:val="28"/>
          <w:lang w:val="uk-UA"/>
        </w:rPr>
        <w:t xml:space="preserve"> (строкове володіння та/або користування)</w:t>
      </w:r>
      <w:r w:rsidR="004130A5">
        <w:rPr>
          <w:sz w:val="28"/>
          <w:szCs w:val="28"/>
          <w:lang w:val="uk-UA"/>
        </w:rPr>
        <w:t>;</w:t>
      </w:r>
    </w:p>
    <w:p w:rsidR="004130A5" w:rsidRDefault="004130A5" w:rsidP="004130A5">
      <w:pPr>
        <w:pStyle w:val="a3"/>
        <w:spacing w:after="0"/>
        <w:ind w:firstLine="567"/>
        <w:jc w:val="both"/>
        <w:rPr>
          <w:sz w:val="28"/>
          <w:szCs w:val="28"/>
          <w:lang w:val="uk-UA"/>
        </w:rPr>
      </w:pPr>
      <w:r>
        <w:rPr>
          <w:sz w:val="28"/>
          <w:szCs w:val="28"/>
          <w:lang w:val="uk-UA"/>
        </w:rPr>
        <w:t>- легалізація на території громади діяльності фізичних осіб, які надають в оренду майно</w:t>
      </w:r>
      <w:r w:rsidRPr="00F0182D">
        <w:rPr>
          <w:sz w:val="28"/>
          <w:szCs w:val="28"/>
          <w:lang w:val="uk-UA"/>
        </w:rPr>
        <w:t xml:space="preserve"> та</w:t>
      </w:r>
      <w:r>
        <w:rPr>
          <w:sz w:val="28"/>
          <w:szCs w:val="28"/>
          <w:lang w:val="uk-UA"/>
        </w:rPr>
        <w:t xml:space="preserve"> фізичних осіб – суб’єктів підприємницької діяльності, які визначили своїм видом діяльності здавання майна в найм;</w:t>
      </w:r>
    </w:p>
    <w:p w:rsidR="004130A5" w:rsidRDefault="004130A5" w:rsidP="004130A5">
      <w:pPr>
        <w:pStyle w:val="a3"/>
        <w:spacing w:after="0"/>
        <w:ind w:firstLine="567"/>
        <w:jc w:val="both"/>
        <w:rPr>
          <w:sz w:val="28"/>
          <w:szCs w:val="28"/>
          <w:lang w:val="uk-UA"/>
        </w:rPr>
      </w:pPr>
      <w:r>
        <w:rPr>
          <w:sz w:val="28"/>
          <w:szCs w:val="28"/>
          <w:lang w:val="uk-UA"/>
        </w:rPr>
        <w:t>- нормативно-правове регулювання цього питання;</w:t>
      </w:r>
    </w:p>
    <w:p w:rsidR="001D2C2A" w:rsidRDefault="001D2C2A" w:rsidP="004130A5">
      <w:pPr>
        <w:ind w:firstLine="567"/>
        <w:jc w:val="both"/>
        <w:rPr>
          <w:sz w:val="27"/>
          <w:szCs w:val="27"/>
          <w:lang w:val="uk-UA"/>
        </w:rPr>
      </w:pPr>
      <w:r w:rsidRPr="003874AB">
        <w:rPr>
          <w:sz w:val="27"/>
          <w:szCs w:val="27"/>
        </w:rPr>
        <w:t xml:space="preserve">- </w:t>
      </w:r>
      <w:proofErr w:type="spellStart"/>
      <w:r w:rsidRPr="003874AB">
        <w:rPr>
          <w:sz w:val="27"/>
          <w:szCs w:val="27"/>
        </w:rPr>
        <w:t>забезпеч</w:t>
      </w:r>
      <w:r w:rsidR="00675264">
        <w:rPr>
          <w:sz w:val="27"/>
          <w:szCs w:val="27"/>
          <w:lang w:val="uk-UA"/>
        </w:rPr>
        <w:t>ення</w:t>
      </w:r>
      <w:proofErr w:type="spellEnd"/>
      <w:r w:rsidRPr="003874AB">
        <w:rPr>
          <w:sz w:val="27"/>
          <w:szCs w:val="27"/>
        </w:rPr>
        <w:t xml:space="preserve"> </w:t>
      </w:r>
      <w:proofErr w:type="spellStart"/>
      <w:r w:rsidRPr="003874AB">
        <w:rPr>
          <w:sz w:val="27"/>
          <w:szCs w:val="27"/>
        </w:rPr>
        <w:t>відкрит</w:t>
      </w:r>
      <w:proofErr w:type="spellEnd"/>
      <w:r w:rsidR="00675264">
        <w:rPr>
          <w:sz w:val="27"/>
          <w:szCs w:val="27"/>
          <w:lang w:val="uk-UA"/>
        </w:rPr>
        <w:t>ості</w:t>
      </w:r>
      <w:r w:rsidRPr="003874AB">
        <w:rPr>
          <w:sz w:val="27"/>
          <w:szCs w:val="27"/>
        </w:rPr>
        <w:t xml:space="preserve"> </w:t>
      </w:r>
      <w:proofErr w:type="spellStart"/>
      <w:r w:rsidRPr="003874AB">
        <w:rPr>
          <w:sz w:val="27"/>
          <w:szCs w:val="27"/>
        </w:rPr>
        <w:t>процедури</w:t>
      </w:r>
      <w:proofErr w:type="spellEnd"/>
      <w:r w:rsidRPr="003874AB">
        <w:rPr>
          <w:sz w:val="27"/>
          <w:szCs w:val="27"/>
        </w:rPr>
        <w:t xml:space="preserve">, </w:t>
      </w:r>
      <w:proofErr w:type="spellStart"/>
      <w:r w:rsidRPr="003874AB">
        <w:rPr>
          <w:sz w:val="27"/>
          <w:szCs w:val="27"/>
        </w:rPr>
        <w:t>прозор</w:t>
      </w:r>
      <w:proofErr w:type="spellEnd"/>
      <w:r w:rsidR="00675264">
        <w:rPr>
          <w:sz w:val="27"/>
          <w:szCs w:val="27"/>
          <w:lang w:val="uk-UA"/>
        </w:rPr>
        <w:t>ості</w:t>
      </w:r>
      <w:r w:rsidRPr="003874AB">
        <w:rPr>
          <w:sz w:val="27"/>
          <w:szCs w:val="27"/>
        </w:rPr>
        <w:t xml:space="preserve"> </w:t>
      </w:r>
      <w:proofErr w:type="spellStart"/>
      <w:r w:rsidRPr="003874AB">
        <w:rPr>
          <w:sz w:val="27"/>
          <w:szCs w:val="27"/>
        </w:rPr>
        <w:t>дій</w:t>
      </w:r>
      <w:proofErr w:type="spellEnd"/>
      <w:r w:rsidRPr="003874AB">
        <w:rPr>
          <w:sz w:val="27"/>
          <w:szCs w:val="27"/>
        </w:rPr>
        <w:t xml:space="preserve"> </w:t>
      </w:r>
      <w:r w:rsidR="00A75F43" w:rsidRPr="003874AB">
        <w:rPr>
          <w:sz w:val="27"/>
          <w:szCs w:val="27"/>
        </w:rPr>
        <w:t xml:space="preserve">органу </w:t>
      </w:r>
      <w:proofErr w:type="spellStart"/>
      <w:r w:rsidR="00A75F43" w:rsidRPr="003874AB">
        <w:rPr>
          <w:sz w:val="27"/>
          <w:szCs w:val="27"/>
        </w:rPr>
        <w:t>місцевого</w:t>
      </w:r>
      <w:proofErr w:type="spellEnd"/>
      <w:r w:rsidR="00A75F43" w:rsidRPr="003874AB">
        <w:rPr>
          <w:sz w:val="27"/>
          <w:szCs w:val="27"/>
        </w:rPr>
        <w:t xml:space="preserve"> </w:t>
      </w:r>
      <w:proofErr w:type="spellStart"/>
      <w:r w:rsidR="00A75F43" w:rsidRPr="003874AB">
        <w:rPr>
          <w:sz w:val="27"/>
          <w:szCs w:val="27"/>
        </w:rPr>
        <w:t>самоврядування</w:t>
      </w:r>
      <w:proofErr w:type="spellEnd"/>
      <w:r w:rsidR="00A75F43" w:rsidRPr="003874AB">
        <w:rPr>
          <w:sz w:val="27"/>
          <w:szCs w:val="27"/>
        </w:rPr>
        <w:t>;</w:t>
      </w:r>
    </w:p>
    <w:p w:rsidR="00A75F43" w:rsidRPr="003874AB" w:rsidRDefault="00A75F43" w:rsidP="001D2C2A">
      <w:pPr>
        <w:ind w:firstLine="567"/>
        <w:jc w:val="both"/>
        <w:rPr>
          <w:sz w:val="27"/>
          <w:szCs w:val="27"/>
        </w:rPr>
      </w:pPr>
      <w:r w:rsidRPr="003874AB">
        <w:rPr>
          <w:sz w:val="27"/>
          <w:szCs w:val="27"/>
        </w:rPr>
        <w:t xml:space="preserve">- </w:t>
      </w:r>
      <w:proofErr w:type="spellStart"/>
      <w:r w:rsidRPr="003874AB">
        <w:rPr>
          <w:sz w:val="27"/>
          <w:szCs w:val="27"/>
        </w:rPr>
        <w:t>забезпеч</w:t>
      </w:r>
      <w:r w:rsidR="00FB46C5">
        <w:rPr>
          <w:sz w:val="27"/>
          <w:szCs w:val="27"/>
          <w:lang w:val="uk-UA"/>
        </w:rPr>
        <w:t>ення</w:t>
      </w:r>
      <w:proofErr w:type="spellEnd"/>
      <w:r w:rsidRPr="003874AB">
        <w:rPr>
          <w:sz w:val="27"/>
          <w:szCs w:val="27"/>
        </w:rPr>
        <w:t xml:space="preserve"> </w:t>
      </w:r>
      <w:proofErr w:type="spellStart"/>
      <w:r w:rsidRPr="003874AB">
        <w:rPr>
          <w:sz w:val="27"/>
          <w:szCs w:val="27"/>
        </w:rPr>
        <w:t>єдин</w:t>
      </w:r>
      <w:proofErr w:type="spellEnd"/>
      <w:r w:rsidR="00FB46C5">
        <w:rPr>
          <w:sz w:val="27"/>
          <w:szCs w:val="27"/>
          <w:lang w:val="uk-UA"/>
        </w:rPr>
        <w:t>ого</w:t>
      </w:r>
      <w:r w:rsidRPr="003874AB">
        <w:rPr>
          <w:sz w:val="27"/>
          <w:szCs w:val="27"/>
        </w:rPr>
        <w:t xml:space="preserve"> </w:t>
      </w:r>
      <w:proofErr w:type="spellStart"/>
      <w:r w:rsidRPr="003874AB">
        <w:rPr>
          <w:sz w:val="27"/>
          <w:szCs w:val="27"/>
        </w:rPr>
        <w:t>механізм</w:t>
      </w:r>
      <w:proofErr w:type="spellEnd"/>
      <w:r w:rsidR="00FB46C5">
        <w:rPr>
          <w:sz w:val="27"/>
          <w:szCs w:val="27"/>
          <w:lang w:val="uk-UA"/>
        </w:rPr>
        <w:t>у</w:t>
      </w:r>
      <w:r w:rsidRPr="003874AB">
        <w:rPr>
          <w:sz w:val="27"/>
          <w:szCs w:val="27"/>
        </w:rPr>
        <w:t xml:space="preserve"> </w:t>
      </w:r>
      <w:proofErr w:type="spellStart"/>
      <w:r w:rsidRPr="003874AB">
        <w:rPr>
          <w:sz w:val="27"/>
          <w:szCs w:val="27"/>
        </w:rPr>
        <w:t>адміністрування</w:t>
      </w:r>
      <w:proofErr w:type="spellEnd"/>
      <w:r w:rsidRPr="003874AB">
        <w:rPr>
          <w:sz w:val="27"/>
          <w:szCs w:val="27"/>
        </w:rPr>
        <w:t xml:space="preserve"> данного </w:t>
      </w:r>
      <w:proofErr w:type="spellStart"/>
      <w:r w:rsidRPr="003874AB">
        <w:rPr>
          <w:sz w:val="27"/>
          <w:szCs w:val="27"/>
        </w:rPr>
        <w:t>податку</w:t>
      </w:r>
      <w:proofErr w:type="spellEnd"/>
      <w:r w:rsidR="00FB46C5">
        <w:rPr>
          <w:sz w:val="27"/>
          <w:szCs w:val="27"/>
          <w:lang w:val="uk-UA"/>
        </w:rPr>
        <w:t xml:space="preserve"> на території громади</w:t>
      </w:r>
      <w:r w:rsidRPr="003874AB">
        <w:rPr>
          <w:sz w:val="27"/>
          <w:szCs w:val="27"/>
        </w:rPr>
        <w:t>.</w:t>
      </w:r>
    </w:p>
    <w:p w:rsidR="001D2C2A" w:rsidRPr="003874AB" w:rsidRDefault="001D2C2A" w:rsidP="001D2C2A">
      <w:pPr>
        <w:ind w:firstLine="708"/>
        <w:jc w:val="both"/>
        <w:rPr>
          <w:b/>
          <w:sz w:val="27"/>
          <w:szCs w:val="27"/>
          <w:lang w:val="uk-UA"/>
        </w:rPr>
      </w:pPr>
      <w:r w:rsidRPr="003874AB">
        <w:rPr>
          <w:b/>
          <w:sz w:val="27"/>
          <w:szCs w:val="27"/>
          <w:lang w:val="uk-UA"/>
        </w:rPr>
        <w:t xml:space="preserve">4. Строк виконання заходів з відстеження: </w:t>
      </w:r>
    </w:p>
    <w:p w:rsidR="001D2C2A" w:rsidRPr="003874AB" w:rsidRDefault="00763D01" w:rsidP="001D2C2A">
      <w:pPr>
        <w:ind w:firstLine="708"/>
        <w:jc w:val="both"/>
        <w:rPr>
          <w:sz w:val="27"/>
          <w:szCs w:val="27"/>
          <w:lang w:val="uk-UA"/>
        </w:rPr>
      </w:pPr>
      <w:r>
        <w:rPr>
          <w:sz w:val="27"/>
          <w:szCs w:val="27"/>
          <w:lang w:val="uk-UA"/>
        </w:rPr>
        <w:t>Квітень</w:t>
      </w:r>
      <w:r w:rsidR="000835FB">
        <w:rPr>
          <w:sz w:val="27"/>
          <w:szCs w:val="27"/>
          <w:lang w:val="uk-UA"/>
        </w:rPr>
        <w:t xml:space="preserve"> 2025 року</w:t>
      </w:r>
    </w:p>
    <w:p w:rsidR="001D2C2A" w:rsidRPr="003874AB" w:rsidRDefault="001D2C2A" w:rsidP="001D2C2A">
      <w:pPr>
        <w:ind w:firstLine="708"/>
        <w:jc w:val="both"/>
        <w:rPr>
          <w:b/>
          <w:sz w:val="27"/>
          <w:szCs w:val="27"/>
          <w:lang w:val="uk-UA"/>
        </w:rPr>
      </w:pPr>
      <w:r w:rsidRPr="003874AB">
        <w:rPr>
          <w:b/>
          <w:sz w:val="27"/>
          <w:szCs w:val="27"/>
          <w:lang w:val="uk-UA"/>
        </w:rPr>
        <w:t xml:space="preserve">5.Тип відстеження: </w:t>
      </w:r>
    </w:p>
    <w:p w:rsidR="001D2C2A" w:rsidRPr="003874AB" w:rsidRDefault="004F2254" w:rsidP="001D2C2A">
      <w:pPr>
        <w:ind w:firstLine="708"/>
        <w:jc w:val="both"/>
        <w:rPr>
          <w:sz w:val="27"/>
          <w:szCs w:val="27"/>
          <w:lang w:val="uk-UA"/>
        </w:rPr>
      </w:pPr>
      <w:r>
        <w:rPr>
          <w:sz w:val="27"/>
          <w:szCs w:val="27"/>
          <w:lang w:val="uk-UA"/>
        </w:rPr>
        <w:t>Повторне</w:t>
      </w:r>
      <w:r w:rsidR="001D2C2A" w:rsidRPr="003874AB">
        <w:rPr>
          <w:sz w:val="27"/>
          <w:szCs w:val="27"/>
          <w:lang w:val="uk-UA"/>
        </w:rPr>
        <w:t xml:space="preserve"> відстеження.</w:t>
      </w:r>
    </w:p>
    <w:p w:rsidR="001D2C2A" w:rsidRPr="003874AB" w:rsidRDefault="001D2C2A" w:rsidP="001D2C2A">
      <w:pPr>
        <w:ind w:firstLine="708"/>
        <w:jc w:val="both"/>
        <w:rPr>
          <w:b/>
          <w:sz w:val="27"/>
          <w:szCs w:val="27"/>
          <w:lang w:val="uk-UA"/>
        </w:rPr>
      </w:pPr>
      <w:r w:rsidRPr="003874AB">
        <w:rPr>
          <w:b/>
          <w:sz w:val="27"/>
          <w:szCs w:val="27"/>
          <w:lang w:val="uk-UA"/>
        </w:rPr>
        <w:t xml:space="preserve">6.Методи одержання результатів відстеження: </w:t>
      </w:r>
    </w:p>
    <w:p w:rsidR="001D2C2A" w:rsidRPr="003874AB" w:rsidRDefault="001D2C2A" w:rsidP="001D2C2A">
      <w:pPr>
        <w:ind w:firstLine="708"/>
        <w:jc w:val="both"/>
        <w:rPr>
          <w:sz w:val="27"/>
          <w:szCs w:val="27"/>
          <w:lang w:val="uk-UA"/>
        </w:rPr>
      </w:pPr>
      <w:r w:rsidRPr="003874AB">
        <w:rPr>
          <w:sz w:val="27"/>
          <w:szCs w:val="27"/>
          <w:lang w:val="uk-UA"/>
        </w:rPr>
        <w:t xml:space="preserve">Для проведення </w:t>
      </w:r>
      <w:r w:rsidR="004F2254">
        <w:rPr>
          <w:sz w:val="27"/>
          <w:szCs w:val="27"/>
          <w:lang w:val="uk-UA"/>
        </w:rPr>
        <w:t>повторного</w:t>
      </w:r>
      <w:r w:rsidRPr="003874AB">
        <w:rPr>
          <w:sz w:val="27"/>
          <w:szCs w:val="27"/>
          <w:lang w:val="uk-UA"/>
        </w:rPr>
        <w:t xml:space="preserve"> відстеження використовувався статистичний метод одержання результатів відстеження.</w:t>
      </w:r>
    </w:p>
    <w:p w:rsidR="001D2C2A" w:rsidRPr="003874AB" w:rsidRDefault="001D2C2A" w:rsidP="001D2C2A">
      <w:pPr>
        <w:ind w:firstLine="708"/>
        <w:jc w:val="both"/>
        <w:rPr>
          <w:b/>
          <w:sz w:val="27"/>
          <w:szCs w:val="27"/>
          <w:lang w:val="uk-UA"/>
        </w:rPr>
      </w:pPr>
      <w:r w:rsidRPr="003874AB">
        <w:rPr>
          <w:b/>
          <w:sz w:val="27"/>
          <w:szCs w:val="27"/>
          <w:lang w:val="uk-UA"/>
        </w:rPr>
        <w:t xml:space="preserve">7.Дані та припущення, на основі яких відстежувалася результативність, а також способи одержання даних: </w:t>
      </w:r>
    </w:p>
    <w:p w:rsidR="00AA394B" w:rsidRDefault="00AA394B" w:rsidP="001D2C2A">
      <w:pPr>
        <w:ind w:firstLine="709"/>
        <w:jc w:val="both"/>
        <w:rPr>
          <w:sz w:val="27"/>
          <w:szCs w:val="27"/>
          <w:lang w:val="uk-UA"/>
        </w:rPr>
      </w:pPr>
      <w:r w:rsidRPr="003874AB">
        <w:rPr>
          <w:sz w:val="27"/>
          <w:szCs w:val="27"/>
          <w:lang w:val="uk-UA"/>
        </w:rPr>
        <w:t xml:space="preserve">Аналіз </w:t>
      </w:r>
      <w:r w:rsidR="001F4758" w:rsidRPr="003874AB">
        <w:rPr>
          <w:sz w:val="27"/>
          <w:szCs w:val="27"/>
          <w:lang w:val="uk-UA"/>
        </w:rPr>
        <w:t>звітності по виконанню дохідної частини бюджету Попівської сільської територіальної громади, кількість платників податк</w:t>
      </w:r>
      <w:r w:rsidR="00FB46C5">
        <w:rPr>
          <w:sz w:val="27"/>
          <w:szCs w:val="27"/>
          <w:lang w:val="uk-UA"/>
        </w:rPr>
        <w:t>у</w:t>
      </w:r>
      <w:r w:rsidR="001F4758" w:rsidRPr="003874AB">
        <w:rPr>
          <w:sz w:val="27"/>
          <w:szCs w:val="27"/>
          <w:lang w:val="uk-UA"/>
        </w:rPr>
        <w:t xml:space="preserve"> за оперативними</w:t>
      </w:r>
      <w:r w:rsidR="00740656">
        <w:rPr>
          <w:sz w:val="27"/>
          <w:szCs w:val="27"/>
          <w:lang w:val="uk-UA"/>
        </w:rPr>
        <w:t xml:space="preserve"> обліковими даними</w:t>
      </w:r>
      <w:r w:rsidRPr="003874AB">
        <w:rPr>
          <w:sz w:val="27"/>
          <w:szCs w:val="27"/>
          <w:lang w:val="uk-UA"/>
        </w:rPr>
        <w:t xml:space="preserve"> управління фінансів та економіки Попівської сільської ради Конотопського району Сумської області</w:t>
      </w:r>
      <w:r w:rsidR="001F4758" w:rsidRPr="003874AB">
        <w:rPr>
          <w:sz w:val="27"/>
          <w:szCs w:val="27"/>
          <w:lang w:val="uk-UA"/>
        </w:rPr>
        <w:t>.</w:t>
      </w:r>
      <w:r w:rsidRPr="003874AB">
        <w:rPr>
          <w:sz w:val="27"/>
          <w:szCs w:val="27"/>
          <w:lang w:val="uk-UA"/>
        </w:rPr>
        <w:t xml:space="preserve"> </w:t>
      </w:r>
    </w:p>
    <w:p w:rsidR="006D16C7" w:rsidRPr="00C71B1B" w:rsidRDefault="006D16C7" w:rsidP="006D16C7">
      <w:pPr>
        <w:ind w:firstLine="708"/>
        <w:jc w:val="both"/>
        <w:rPr>
          <w:sz w:val="28"/>
          <w:szCs w:val="28"/>
          <w:lang w:val="uk-UA"/>
        </w:rPr>
      </w:pPr>
      <w:r w:rsidRPr="00C71B1B">
        <w:rPr>
          <w:sz w:val="28"/>
          <w:szCs w:val="28"/>
          <w:lang w:val="uk-UA"/>
        </w:rPr>
        <w:lastRenderedPageBreak/>
        <w:t xml:space="preserve">Повторне відстеження здійснюється з метою оцінки ступеня досягнення визначених регуляторним актом цілей шляхом обробки та аналізу статистичних показників щодо чисельності платників податку та надходжень до бюджету на підставі оперативних облікових даних управління фінансів та економіки Попівської сільської ради Конотопського району Сумської області. </w:t>
      </w:r>
    </w:p>
    <w:p w:rsidR="001D2C2A" w:rsidRPr="003874AB" w:rsidRDefault="001D2C2A" w:rsidP="001D2C2A">
      <w:pPr>
        <w:ind w:firstLine="708"/>
        <w:jc w:val="both"/>
        <w:rPr>
          <w:sz w:val="27"/>
          <w:szCs w:val="27"/>
          <w:lang w:val="uk-UA"/>
        </w:rPr>
      </w:pPr>
    </w:p>
    <w:p w:rsidR="001D2C2A" w:rsidRPr="003874AB" w:rsidRDefault="001D2C2A" w:rsidP="001D2C2A">
      <w:pPr>
        <w:ind w:firstLine="708"/>
        <w:jc w:val="both"/>
        <w:rPr>
          <w:b/>
          <w:sz w:val="27"/>
          <w:szCs w:val="27"/>
          <w:lang w:val="uk-UA"/>
        </w:rPr>
      </w:pPr>
      <w:r w:rsidRPr="003874AB">
        <w:rPr>
          <w:b/>
          <w:sz w:val="27"/>
          <w:szCs w:val="27"/>
          <w:lang w:val="uk-UA"/>
        </w:rPr>
        <w:t>8. Кількісні та якісні значення показників результативності акта:</w:t>
      </w:r>
    </w:p>
    <w:p w:rsidR="000835FB" w:rsidRDefault="000835FB" w:rsidP="000835FB">
      <w:pPr>
        <w:ind w:firstLine="709"/>
        <w:jc w:val="both"/>
        <w:rPr>
          <w:sz w:val="27"/>
          <w:szCs w:val="27"/>
        </w:rPr>
      </w:pPr>
      <w:r w:rsidRPr="003874AB">
        <w:rPr>
          <w:sz w:val="27"/>
          <w:szCs w:val="27"/>
        </w:rPr>
        <w:t xml:space="preserve">Для </w:t>
      </w:r>
      <w:proofErr w:type="spellStart"/>
      <w:r w:rsidRPr="003874AB">
        <w:rPr>
          <w:sz w:val="27"/>
          <w:szCs w:val="27"/>
        </w:rPr>
        <w:t>відстеження</w:t>
      </w:r>
      <w:proofErr w:type="spellEnd"/>
      <w:r w:rsidRPr="003874AB">
        <w:rPr>
          <w:sz w:val="27"/>
          <w:szCs w:val="27"/>
        </w:rPr>
        <w:t xml:space="preserve"> </w:t>
      </w:r>
      <w:proofErr w:type="spellStart"/>
      <w:r w:rsidRPr="003874AB">
        <w:rPr>
          <w:sz w:val="27"/>
          <w:szCs w:val="27"/>
        </w:rPr>
        <w:t>результативності</w:t>
      </w:r>
      <w:proofErr w:type="spellEnd"/>
      <w:r w:rsidRPr="003874AB">
        <w:rPr>
          <w:sz w:val="27"/>
          <w:szCs w:val="27"/>
        </w:rPr>
        <w:t xml:space="preserve"> регуляторного акта </w:t>
      </w:r>
      <w:proofErr w:type="spellStart"/>
      <w:r w:rsidRPr="003874AB">
        <w:rPr>
          <w:sz w:val="27"/>
          <w:szCs w:val="27"/>
        </w:rPr>
        <w:t>обрано</w:t>
      </w:r>
      <w:proofErr w:type="spellEnd"/>
      <w:r w:rsidRPr="003874AB">
        <w:rPr>
          <w:sz w:val="27"/>
          <w:szCs w:val="27"/>
        </w:rPr>
        <w:t xml:space="preserve"> </w:t>
      </w:r>
      <w:proofErr w:type="spellStart"/>
      <w:r w:rsidRPr="003874AB">
        <w:rPr>
          <w:sz w:val="27"/>
          <w:szCs w:val="27"/>
        </w:rPr>
        <w:t>наступні</w:t>
      </w:r>
      <w:proofErr w:type="spellEnd"/>
      <w:r w:rsidRPr="003874AB">
        <w:rPr>
          <w:sz w:val="27"/>
          <w:szCs w:val="27"/>
        </w:rPr>
        <w:t xml:space="preserve"> </w:t>
      </w:r>
      <w:r w:rsidR="00FA4860">
        <w:rPr>
          <w:sz w:val="27"/>
          <w:szCs w:val="27"/>
          <w:lang w:val="uk-UA"/>
        </w:rPr>
        <w:t xml:space="preserve"> кількісні та якісні показники</w:t>
      </w:r>
      <w:r w:rsidRPr="003874AB">
        <w:rPr>
          <w:sz w:val="27"/>
          <w:szCs w:val="27"/>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1560"/>
        <w:gridCol w:w="1559"/>
        <w:gridCol w:w="1134"/>
      </w:tblGrid>
      <w:tr w:rsidR="000835FB" w:rsidRPr="004135AF" w:rsidTr="004135AF">
        <w:trPr>
          <w:tblHeader/>
        </w:trPr>
        <w:tc>
          <w:tcPr>
            <w:tcW w:w="5103" w:type="dxa"/>
          </w:tcPr>
          <w:p w:rsidR="000835FB" w:rsidRPr="004135AF" w:rsidRDefault="000835FB" w:rsidP="00A60830">
            <w:pPr>
              <w:pStyle w:val="a5"/>
              <w:jc w:val="center"/>
              <w:rPr>
                <w:b/>
                <w:i/>
                <w:sz w:val="27"/>
                <w:szCs w:val="27"/>
              </w:rPr>
            </w:pPr>
            <w:proofErr w:type="spellStart"/>
            <w:r w:rsidRPr="004135AF">
              <w:rPr>
                <w:b/>
                <w:i/>
                <w:sz w:val="27"/>
                <w:szCs w:val="27"/>
              </w:rPr>
              <w:t>Показник</w:t>
            </w:r>
            <w:proofErr w:type="spellEnd"/>
          </w:p>
        </w:tc>
        <w:tc>
          <w:tcPr>
            <w:tcW w:w="1560" w:type="dxa"/>
          </w:tcPr>
          <w:p w:rsidR="000835FB" w:rsidRPr="004135AF" w:rsidRDefault="000835FB" w:rsidP="000835FB">
            <w:pPr>
              <w:pStyle w:val="a5"/>
              <w:jc w:val="center"/>
              <w:rPr>
                <w:b/>
                <w:sz w:val="27"/>
                <w:szCs w:val="27"/>
                <w:lang w:val="uk-UA"/>
              </w:rPr>
            </w:pPr>
            <w:r w:rsidRPr="004135AF">
              <w:rPr>
                <w:b/>
                <w:sz w:val="27"/>
                <w:szCs w:val="27"/>
                <w:lang w:val="uk-UA"/>
              </w:rPr>
              <w:t>Станом на 01.01.2024</w:t>
            </w:r>
          </w:p>
        </w:tc>
        <w:tc>
          <w:tcPr>
            <w:tcW w:w="1559" w:type="dxa"/>
          </w:tcPr>
          <w:p w:rsidR="000835FB" w:rsidRPr="004135AF" w:rsidRDefault="000835FB" w:rsidP="000835FB">
            <w:pPr>
              <w:pStyle w:val="a5"/>
              <w:jc w:val="center"/>
              <w:rPr>
                <w:b/>
                <w:sz w:val="27"/>
                <w:szCs w:val="27"/>
                <w:lang w:val="uk-UA"/>
              </w:rPr>
            </w:pPr>
            <w:r w:rsidRPr="004135AF">
              <w:rPr>
                <w:b/>
                <w:sz w:val="27"/>
                <w:szCs w:val="27"/>
                <w:lang w:val="uk-UA"/>
              </w:rPr>
              <w:t>Станом на 01.01.2025</w:t>
            </w:r>
          </w:p>
        </w:tc>
        <w:tc>
          <w:tcPr>
            <w:tcW w:w="1134" w:type="dxa"/>
          </w:tcPr>
          <w:p w:rsidR="000835FB" w:rsidRPr="004135AF" w:rsidRDefault="000835FB" w:rsidP="00A60830">
            <w:pPr>
              <w:pStyle w:val="a5"/>
              <w:jc w:val="center"/>
              <w:rPr>
                <w:b/>
                <w:color w:val="000000"/>
                <w:sz w:val="27"/>
                <w:szCs w:val="27"/>
                <w:lang w:val="uk-UA"/>
              </w:rPr>
            </w:pPr>
            <w:r w:rsidRPr="004135AF">
              <w:rPr>
                <w:b/>
                <w:color w:val="000000"/>
                <w:sz w:val="27"/>
                <w:szCs w:val="27"/>
                <w:lang w:val="uk-UA"/>
              </w:rPr>
              <w:t>Різниця +/-</w:t>
            </w:r>
          </w:p>
        </w:tc>
      </w:tr>
      <w:tr w:rsidR="000835FB" w:rsidRPr="004135AF" w:rsidTr="004135AF">
        <w:trPr>
          <w:trHeight w:val="485"/>
        </w:trPr>
        <w:tc>
          <w:tcPr>
            <w:tcW w:w="5103" w:type="dxa"/>
          </w:tcPr>
          <w:p w:rsidR="000835FB" w:rsidRPr="004135AF" w:rsidRDefault="000835FB" w:rsidP="000835FB">
            <w:pPr>
              <w:pStyle w:val="a5"/>
              <w:jc w:val="both"/>
              <w:rPr>
                <w:color w:val="000000"/>
                <w:sz w:val="27"/>
                <w:szCs w:val="27"/>
              </w:rPr>
            </w:pPr>
            <w:proofErr w:type="spellStart"/>
            <w:r w:rsidRPr="004135AF">
              <w:rPr>
                <w:color w:val="000000"/>
                <w:sz w:val="27"/>
                <w:szCs w:val="27"/>
              </w:rPr>
              <w:t>Кількість</w:t>
            </w:r>
            <w:proofErr w:type="spellEnd"/>
            <w:r w:rsidRPr="004135AF">
              <w:rPr>
                <w:color w:val="000000"/>
                <w:sz w:val="27"/>
                <w:szCs w:val="27"/>
              </w:rPr>
              <w:t xml:space="preserve"> </w:t>
            </w:r>
            <w:r w:rsidRPr="004135AF">
              <w:rPr>
                <w:color w:val="000000"/>
                <w:sz w:val="27"/>
                <w:szCs w:val="27"/>
                <w:lang w:val="uk-UA"/>
              </w:rPr>
              <w:t xml:space="preserve"> фізичних осіб</w:t>
            </w:r>
            <w:r w:rsidRPr="004135AF">
              <w:rPr>
                <w:color w:val="000000"/>
                <w:sz w:val="27"/>
                <w:szCs w:val="27"/>
              </w:rPr>
              <w:t xml:space="preserve"> на </w:t>
            </w:r>
            <w:proofErr w:type="spellStart"/>
            <w:r w:rsidRPr="004135AF">
              <w:rPr>
                <w:color w:val="000000"/>
                <w:sz w:val="27"/>
                <w:szCs w:val="27"/>
              </w:rPr>
              <w:t>яких</w:t>
            </w:r>
            <w:proofErr w:type="spellEnd"/>
            <w:r w:rsidRPr="004135AF">
              <w:rPr>
                <w:color w:val="000000"/>
                <w:sz w:val="27"/>
                <w:szCs w:val="27"/>
              </w:rPr>
              <w:t xml:space="preserve"> </w:t>
            </w:r>
            <w:proofErr w:type="spellStart"/>
            <w:r w:rsidRPr="004135AF">
              <w:rPr>
                <w:color w:val="000000"/>
                <w:sz w:val="27"/>
                <w:szCs w:val="27"/>
              </w:rPr>
              <w:t>поширю</w:t>
            </w:r>
            <w:proofErr w:type="spellEnd"/>
            <w:r w:rsidRPr="004135AF">
              <w:rPr>
                <w:color w:val="000000"/>
                <w:sz w:val="27"/>
                <w:szCs w:val="27"/>
                <w:lang w:val="uk-UA"/>
              </w:rPr>
              <w:t>є</w:t>
            </w:r>
            <w:proofErr w:type="spellStart"/>
            <w:r w:rsidRPr="004135AF">
              <w:rPr>
                <w:color w:val="000000"/>
                <w:sz w:val="27"/>
                <w:szCs w:val="27"/>
              </w:rPr>
              <w:t>ться</w:t>
            </w:r>
            <w:proofErr w:type="spellEnd"/>
            <w:r w:rsidRPr="004135AF">
              <w:rPr>
                <w:color w:val="000000"/>
                <w:sz w:val="27"/>
                <w:szCs w:val="27"/>
              </w:rPr>
              <w:t xml:space="preserve"> </w:t>
            </w:r>
            <w:r w:rsidRPr="004135AF">
              <w:rPr>
                <w:color w:val="000000"/>
                <w:sz w:val="27"/>
                <w:szCs w:val="27"/>
                <w:lang w:val="uk-UA"/>
              </w:rPr>
              <w:t xml:space="preserve">дія </w:t>
            </w:r>
            <w:proofErr w:type="spellStart"/>
            <w:r w:rsidRPr="004135AF">
              <w:rPr>
                <w:color w:val="000000"/>
                <w:sz w:val="27"/>
                <w:szCs w:val="27"/>
              </w:rPr>
              <w:t>регуляторн</w:t>
            </w:r>
            <w:proofErr w:type="spellEnd"/>
            <w:r w:rsidRPr="004135AF">
              <w:rPr>
                <w:color w:val="000000"/>
                <w:sz w:val="27"/>
                <w:szCs w:val="27"/>
                <w:lang w:val="uk-UA"/>
              </w:rPr>
              <w:t>ого</w:t>
            </w:r>
            <w:r w:rsidRPr="004135AF">
              <w:rPr>
                <w:color w:val="000000"/>
                <w:sz w:val="27"/>
                <w:szCs w:val="27"/>
              </w:rPr>
              <w:t xml:space="preserve"> акт</w:t>
            </w:r>
            <w:r w:rsidRPr="004135AF">
              <w:rPr>
                <w:color w:val="000000"/>
                <w:sz w:val="27"/>
                <w:szCs w:val="27"/>
                <w:lang w:val="uk-UA"/>
              </w:rPr>
              <w:t>у</w:t>
            </w:r>
            <w:r w:rsidRPr="004135AF">
              <w:rPr>
                <w:color w:val="000000"/>
                <w:sz w:val="27"/>
                <w:szCs w:val="27"/>
              </w:rPr>
              <w:t xml:space="preserve">, </w:t>
            </w:r>
            <w:proofErr w:type="spellStart"/>
            <w:r w:rsidRPr="004135AF">
              <w:rPr>
                <w:color w:val="000000"/>
                <w:sz w:val="27"/>
                <w:szCs w:val="27"/>
              </w:rPr>
              <w:t>осіб</w:t>
            </w:r>
            <w:proofErr w:type="spellEnd"/>
            <w:r w:rsidRPr="004135AF">
              <w:rPr>
                <w:color w:val="000000"/>
                <w:sz w:val="27"/>
                <w:szCs w:val="27"/>
              </w:rPr>
              <w:t xml:space="preserve">, у тому </w:t>
            </w:r>
            <w:proofErr w:type="spellStart"/>
            <w:r w:rsidRPr="004135AF">
              <w:rPr>
                <w:color w:val="000000"/>
                <w:sz w:val="27"/>
                <w:szCs w:val="27"/>
              </w:rPr>
              <w:t>числі</w:t>
            </w:r>
            <w:proofErr w:type="spellEnd"/>
            <w:r w:rsidRPr="004135AF">
              <w:rPr>
                <w:color w:val="000000"/>
                <w:sz w:val="27"/>
                <w:szCs w:val="27"/>
              </w:rPr>
              <w:t>:</w:t>
            </w:r>
          </w:p>
        </w:tc>
        <w:tc>
          <w:tcPr>
            <w:tcW w:w="1560" w:type="dxa"/>
          </w:tcPr>
          <w:p w:rsidR="000835FB" w:rsidRPr="004135AF" w:rsidRDefault="00074E4B" w:rsidP="00A60830">
            <w:pPr>
              <w:pStyle w:val="a5"/>
              <w:jc w:val="center"/>
              <w:rPr>
                <w:color w:val="000000"/>
                <w:sz w:val="27"/>
                <w:szCs w:val="27"/>
                <w:lang w:val="uk-UA"/>
              </w:rPr>
            </w:pPr>
            <w:r>
              <w:rPr>
                <w:color w:val="000000"/>
                <w:sz w:val="27"/>
                <w:szCs w:val="27"/>
                <w:lang w:val="uk-UA"/>
              </w:rPr>
              <w:t>9</w:t>
            </w:r>
          </w:p>
        </w:tc>
        <w:tc>
          <w:tcPr>
            <w:tcW w:w="1559" w:type="dxa"/>
          </w:tcPr>
          <w:p w:rsidR="000835FB" w:rsidRPr="00FA4860" w:rsidRDefault="00FA4860" w:rsidP="00A60830">
            <w:pPr>
              <w:pStyle w:val="a5"/>
              <w:jc w:val="center"/>
              <w:rPr>
                <w:sz w:val="27"/>
                <w:szCs w:val="27"/>
                <w:lang w:val="uk-UA"/>
              </w:rPr>
            </w:pPr>
            <w:r w:rsidRPr="00FA4860">
              <w:rPr>
                <w:sz w:val="27"/>
                <w:szCs w:val="27"/>
                <w:lang w:val="uk-UA"/>
              </w:rPr>
              <w:t>9</w:t>
            </w:r>
          </w:p>
        </w:tc>
        <w:tc>
          <w:tcPr>
            <w:tcW w:w="1134" w:type="dxa"/>
          </w:tcPr>
          <w:p w:rsidR="000835FB" w:rsidRPr="00FA4860" w:rsidRDefault="000835FB" w:rsidP="00A60830">
            <w:pPr>
              <w:pStyle w:val="a5"/>
              <w:jc w:val="center"/>
              <w:rPr>
                <w:sz w:val="27"/>
                <w:szCs w:val="27"/>
                <w:lang w:val="uk-UA"/>
              </w:rPr>
            </w:pPr>
            <w:r w:rsidRPr="00FA4860">
              <w:rPr>
                <w:sz w:val="27"/>
                <w:szCs w:val="27"/>
                <w:lang w:val="uk-UA"/>
              </w:rPr>
              <w:t>-</w:t>
            </w:r>
          </w:p>
        </w:tc>
      </w:tr>
      <w:tr w:rsidR="000835FB" w:rsidRPr="004135AF" w:rsidTr="004135AF">
        <w:trPr>
          <w:trHeight w:val="390"/>
        </w:trPr>
        <w:tc>
          <w:tcPr>
            <w:tcW w:w="5103" w:type="dxa"/>
          </w:tcPr>
          <w:p w:rsidR="000835FB" w:rsidRPr="004135AF" w:rsidRDefault="000835FB" w:rsidP="000835FB">
            <w:pPr>
              <w:pStyle w:val="a5"/>
              <w:jc w:val="both"/>
              <w:rPr>
                <w:color w:val="000000"/>
                <w:sz w:val="27"/>
                <w:szCs w:val="27"/>
              </w:rPr>
            </w:pPr>
            <w:r w:rsidRPr="004135AF">
              <w:rPr>
                <w:color w:val="000000"/>
                <w:sz w:val="27"/>
                <w:szCs w:val="27"/>
                <w:lang w:val="uk-UA"/>
              </w:rPr>
              <w:t>Надходження коштів д</w:t>
            </w:r>
            <w:r w:rsidRPr="004135AF">
              <w:rPr>
                <w:color w:val="000000"/>
                <w:sz w:val="27"/>
                <w:szCs w:val="27"/>
              </w:rPr>
              <w:t xml:space="preserve">о  </w:t>
            </w:r>
            <w:proofErr w:type="spellStart"/>
            <w:r w:rsidRPr="004135AF">
              <w:rPr>
                <w:color w:val="000000"/>
                <w:sz w:val="27"/>
                <w:szCs w:val="27"/>
              </w:rPr>
              <w:t>сільського</w:t>
            </w:r>
            <w:proofErr w:type="spellEnd"/>
            <w:r w:rsidRPr="004135AF">
              <w:rPr>
                <w:color w:val="000000"/>
                <w:sz w:val="27"/>
                <w:szCs w:val="27"/>
              </w:rPr>
              <w:t xml:space="preserve"> бюджету </w:t>
            </w:r>
            <w:r w:rsidRPr="004135AF">
              <w:rPr>
                <w:color w:val="000000"/>
                <w:sz w:val="27"/>
                <w:szCs w:val="27"/>
                <w:lang w:val="uk-UA"/>
              </w:rPr>
              <w:t>Податку на доходи фізичних осіб з оренди майна</w:t>
            </w:r>
            <w:r w:rsidRPr="004135AF">
              <w:rPr>
                <w:color w:val="000000"/>
                <w:sz w:val="27"/>
                <w:szCs w:val="27"/>
              </w:rPr>
              <w:t xml:space="preserve">,         тис. грн., у тому </w:t>
            </w:r>
            <w:proofErr w:type="spellStart"/>
            <w:r w:rsidRPr="004135AF">
              <w:rPr>
                <w:color w:val="000000"/>
                <w:sz w:val="27"/>
                <w:szCs w:val="27"/>
              </w:rPr>
              <w:t>числі</w:t>
            </w:r>
            <w:proofErr w:type="spellEnd"/>
            <w:r w:rsidRPr="004135AF">
              <w:rPr>
                <w:color w:val="000000"/>
                <w:sz w:val="27"/>
                <w:szCs w:val="27"/>
              </w:rPr>
              <w:t>:</w:t>
            </w:r>
          </w:p>
        </w:tc>
        <w:tc>
          <w:tcPr>
            <w:tcW w:w="1560" w:type="dxa"/>
          </w:tcPr>
          <w:p w:rsidR="000835FB" w:rsidRPr="004135AF" w:rsidRDefault="00FA4860" w:rsidP="00A60830">
            <w:pPr>
              <w:pStyle w:val="a5"/>
              <w:jc w:val="center"/>
              <w:rPr>
                <w:color w:val="000000"/>
                <w:sz w:val="27"/>
                <w:szCs w:val="27"/>
                <w:lang w:val="uk-UA"/>
              </w:rPr>
            </w:pPr>
            <w:r>
              <w:rPr>
                <w:color w:val="000000"/>
                <w:sz w:val="27"/>
                <w:szCs w:val="27"/>
                <w:lang w:val="uk-UA"/>
              </w:rPr>
              <w:t>62,5</w:t>
            </w:r>
          </w:p>
        </w:tc>
        <w:tc>
          <w:tcPr>
            <w:tcW w:w="1559" w:type="dxa"/>
          </w:tcPr>
          <w:p w:rsidR="000835FB" w:rsidRPr="00FA4860" w:rsidRDefault="00FA4860" w:rsidP="00A60830">
            <w:pPr>
              <w:pStyle w:val="a5"/>
              <w:jc w:val="center"/>
              <w:rPr>
                <w:sz w:val="27"/>
                <w:szCs w:val="27"/>
                <w:lang w:val="uk-UA"/>
              </w:rPr>
            </w:pPr>
            <w:r w:rsidRPr="00FA4860">
              <w:rPr>
                <w:sz w:val="27"/>
                <w:szCs w:val="27"/>
                <w:lang w:val="uk-UA"/>
              </w:rPr>
              <w:t>96,1</w:t>
            </w:r>
          </w:p>
        </w:tc>
        <w:tc>
          <w:tcPr>
            <w:tcW w:w="1134" w:type="dxa"/>
          </w:tcPr>
          <w:p w:rsidR="000835FB" w:rsidRPr="00FA4860" w:rsidRDefault="00FA4860" w:rsidP="00A60830">
            <w:pPr>
              <w:pStyle w:val="a5"/>
              <w:jc w:val="center"/>
              <w:rPr>
                <w:sz w:val="27"/>
                <w:szCs w:val="27"/>
                <w:lang w:val="uk-UA"/>
              </w:rPr>
            </w:pPr>
            <w:r w:rsidRPr="00FA4860">
              <w:rPr>
                <w:sz w:val="27"/>
                <w:szCs w:val="27"/>
                <w:lang w:val="uk-UA"/>
              </w:rPr>
              <w:t>+33,6</w:t>
            </w:r>
          </w:p>
        </w:tc>
      </w:tr>
    </w:tbl>
    <w:p w:rsidR="000835FB" w:rsidRDefault="000835FB" w:rsidP="007235B1">
      <w:pPr>
        <w:ind w:firstLine="709"/>
        <w:jc w:val="both"/>
        <w:rPr>
          <w:sz w:val="27"/>
          <w:szCs w:val="27"/>
          <w:lang w:val="uk-UA"/>
        </w:rPr>
      </w:pPr>
    </w:p>
    <w:p w:rsidR="001D2C2A" w:rsidRPr="003874AB" w:rsidRDefault="001D2C2A" w:rsidP="001D2C2A">
      <w:pPr>
        <w:ind w:firstLine="708"/>
        <w:jc w:val="both"/>
        <w:rPr>
          <w:b/>
          <w:sz w:val="27"/>
          <w:szCs w:val="27"/>
          <w:lang w:val="uk-UA"/>
        </w:rPr>
      </w:pPr>
      <w:r w:rsidRPr="003874AB">
        <w:rPr>
          <w:b/>
          <w:sz w:val="27"/>
          <w:szCs w:val="27"/>
          <w:lang w:val="uk-UA"/>
        </w:rPr>
        <w:t xml:space="preserve">9. Оцінка результатів реалізації регуляторного акта та ступеня досягнення визначених цілей: </w:t>
      </w:r>
    </w:p>
    <w:p w:rsidR="001D2C2A" w:rsidRPr="003874AB" w:rsidRDefault="001D2C2A" w:rsidP="00B8337E">
      <w:pPr>
        <w:jc w:val="both"/>
        <w:rPr>
          <w:sz w:val="27"/>
          <w:szCs w:val="27"/>
          <w:lang w:val="uk-UA"/>
        </w:rPr>
      </w:pPr>
      <w:r w:rsidRPr="003874AB">
        <w:rPr>
          <w:sz w:val="27"/>
          <w:szCs w:val="27"/>
          <w:lang w:val="uk-UA"/>
        </w:rPr>
        <w:t xml:space="preserve">      </w:t>
      </w:r>
      <w:r w:rsidR="00066DBC" w:rsidRPr="003874AB">
        <w:rPr>
          <w:sz w:val="27"/>
          <w:szCs w:val="27"/>
          <w:lang w:val="uk-UA"/>
        </w:rPr>
        <w:t xml:space="preserve">Встановлення </w:t>
      </w:r>
      <w:r w:rsidR="00F646B6" w:rsidRPr="00A973B7">
        <w:rPr>
          <w:sz w:val="28"/>
          <w:szCs w:val="28"/>
          <w:lang w:val="uk-UA"/>
        </w:rPr>
        <w:t>мінімального розміру місячної орендної плати за один квадратний метр загальної площі нерухомого майна фізичних осіб</w:t>
      </w:r>
      <w:r w:rsidR="00F646B6" w:rsidRPr="003874AB">
        <w:rPr>
          <w:sz w:val="27"/>
          <w:szCs w:val="27"/>
          <w:lang w:val="uk-UA"/>
        </w:rPr>
        <w:t xml:space="preserve"> </w:t>
      </w:r>
      <w:r w:rsidR="00066DBC" w:rsidRPr="003874AB">
        <w:rPr>
          <w:sz w:val="27"/>
          <w:szCs w:val="27"/>
          <w:lang w:val="uk-UA"/>
        </w:rPr>
        <w:t>забезпечу</w:t>
      </w:r>
      <w:r w:rsidR="00FA4860">
        <w:rPr>
          <w:sz w:val="27"/>
          <w:szCs w:val="27"/>
          <w:lang w:val="uk-UA"/>
        </w:rPr>
        <w:t>є</w:t>
      </w:r>
      <w:r w:rsidR="00192E72" w:rsidRPr="003874AB">
        <w:rPr>
          <w:sz w:val="27"/>
          <w:szCs w:val="27"/>
          <w:lang w:val="uk-UA"/>
        </w:rPr>
        <w:t xml:space="preserve"> досягнення встановлених цілей, чітких та прозорих механізмів справляння та сплати податку на території громади та відповідне наповнення бюджету</w:t>
      </w:r>
      <w:r w:rsidR="00066DBC" w:rsidRPr="003874AB">
        <w:rPr>
          <w:sz w:val="27"/>
          <w:szCs w:val="27"/>
          <w:lang w:val="uk-UA"/>
        </w:rPr>
        <w:t xml:space="preserve"> Попівської сільської територіальної громади.</w:t>
      </w:r>
    </w:p>
    <w:p w:rsidR="00366163" w:rsidRDefault="00066DBC" w:rsidP="00366163">
      <w:pPr>
        <w:jc w:val="both"/>
        <w:rPr>
          <w:sz w:val="28"/>
          <w:szCs w:val="28"/>
          <w:lang w:val="uk-UA"/>
        </w:rPr>
      </w:pPr>
      <w:r w:rsidRPr="003874AB">
        <w:rPr>
          <w:sz w:val="27"/>
          <w:szCs w:val="27"/>
          <w:lang w:val="uk-UA"/>
        </w:rPr>
        <w:t xml:space="preserve">      </w:t>
      </w:r>
      <w:r w:rsidR="00366163" w:rsidRPr="00C71B1B">
        <w:rPr>
          <w:sz w:val="28"/>
          <w:szCs w:val="28"/>
          <w:lang w:val="uk-UA"/>
        </w:rPr>
        <w:t>Як свідчить проведений аналіз, показник кількості платників, на яких поширюється регуляторний акт, характеризується стабільністю та відповідає показнику, визначеному під час базового відстеження його результативності. Загалом спостерігається збільшення обсягів надходжень коштів до бюджету територіальної громади.</w:t>
      </w:r>
    </w:p>
    <w:p w:rsidR="00366163" w:rsidRPr="00C71B1B" w:rsidRDefault="00366163" w:rsidP="00366163">
      <w:pPr>
        <w:jc w:val="both"/>
        <w:rPr>
          <w:color w:val="000000"/>
          <w:sz w:val="28"/>
          <w:szCs w:val="28"/>
          <w:lang w:val="uk-UA"/>
        </w:rPr>
      </w:pPr>
      <w:r w:rsidRPr="00C71B1B">
        <w:rPr>
          <w:sz w:val="28"/>
          <w:szCs w:val="28"/>
          <w:lang w:val="uk-UA"/>
        </w:rPr>
        <w:t xml:space="preserve">      За результатами повторного відстеження результативності регуляторного акта встановлено, що даний регуляторний акт має достатній рівень досягнення визначених цілей, оскільки п</w:t>
      </w:r>
      <w:r w:rsidRPr="00C71B1B">
        <w:rPr>
          <w:color w:val="000000"/>
          <w:sz w:val="28"/>
          <w:szCs w:val="28"/>
          <w:lang w:val="uk-UA"/>
        </w:rPr>
        <w:t>рийняття регуляторного акту</w:t>
      </w:r>
      <w:r>
        <w:rPr>
          <w:color w:val="000000"/>
          <w:sz w:val="28"/>
          <w:szCs w:val="28"/>
          <w:lang w:val="uk-UA"/>
        </w:rPr>
        <w:t xml:space="preserve"> сприяло </w:t>
      </w:r>
      <w:r w:rsidRPr="00C71B1B">
        <w:rPr>
          <w:color w:val="000000"/>
          <w:sz w:val="28"/>
          <w:szCs w:val="28"/>
          <w:lang w:val="uk-UA"/>
        </w:rPr>
        <w:t xml:space="preserve"> забезпеч</w:t>
      </w:r>
      <w:r>
        <w:rPr>
          <w:color w:val="000000"/>
          <w:sz w:val="28"/>
          <w:szCs w:val="28"/>
          <w:lang w:val="uk-UA"/>
        </w:rPr>
        <w:t>енню</w:t>
      </w:r>
      <w:r w:rsidRPr="00C71B1B">
        <w:rPr>
          <w:color w:val="000000"/>
          <w:sz w:val="28"/>
          <w:szCs w:val="28"/>
          <w:lang w:val="uk-UA"/>
        </w:rPr>
        <w:t>:</w:t>
      </w:r>
    </w:p>
    <w:p w:rsidR="00366163" w:rsidRPr="00C71B1B" w:rsidRDefault="00366163" w:rsidP="00366163">
      <w:pPr>
        <w:ind w:firstLine="426"/>
        <w:jc w:val="both"/>
        <w:rPr>
          <w:sz w:val="28"/>
          <w:szCs w:val="28"/>
          <w:lang w:val="uk-UA"/>
        </w:rPr>
      </w:pPr>
      <w:r w:rsidRPr="00C71B1B">
        <w:rPr>
          <w:sz w:val="28"/>
          <w:szCs w:val="28"/>
          <w:lang w:val="uk-UA"/>
        </w:rPr>
        <w:t>-</w:t>
      </w:r>
      <w:r w:rsidRPr="00C71B1B">
        <w:rPr>
          <w:sz w:val="28"/>
          <w:szCs w:val="28"/>
        </w:rPr>
        <w:t xml:space="preserve"> </w:t>
      </w:r>
      <w:proofErr w:type="spellStart"/>
      <w:r w:rsidRPr="00C71B1B">
        <w:rPr>
          <w:sz w:val="28"/>
          <w:szCs w:val="28"/>
        </w:rPr>
        <w:t>збалансован</w:t>
      </w:r>
      <w:proofErr w:type="spellEnd"/>
      <w:r>
        <w:rPr>
          <w:sz w:val="28"/>
          <w:szCs w:val="28"/>
          <w:lang w:val="uk-UA"/>
        </w:rPr>
        <w:t>ості</w:t>
      </w:r>
      <w:r w:rsidRPr="00C71B1B">
        <w:rPr>
          <w:sz w:val="28"/>
          <w:szCs w:val="28"/>
        </w:rPr>
        <w:t xml:space="preserve"> </w:t>
      </w:r>
      <w:proofErr w:type="spellStart"/>
      <w:r w:rsidRPr="00C71B1B">
        <w:rPr>
          <w:sz w:val="28"/>
          <w:szCs w:val="28"/>
        </w:rPr>
        <w:t>дохідної</w:t>
      </w:r>
      <w:proofErr w:type="spellEnd"/>
      <w:r w:rsidRPr="00C71B1B">
        <w:rPr>
          <w:sz w:val="28"/>
          <w:szCs w:val="28"/>
        </w:rPr>
        <w:t xml:space="preserve"> </w:t>
      </w:r>
      <w:proofErr w:type="spellStart"/>
      <w:r w:rsidRPr="00C71B1B">
        <w:rPr>
          <w:sz w:val="28"/>
          <w:szCs w:val="28"/>
        </w:rPr>
        <w:t>частини</w:t>
      </w:r>
      <w:proofErr w:type="spellEnd"/>
      <w:r w:rsidRPr="00C71B1B">
        <w:rPr>
          <w:sz w:val="28"/>
          <w:szCs w:val="28"/>
        </w:rPr>
        <w:t xml:space="preserve"> бюджету та </w:t>
      </w:r>
      <w:proofErr w:type="spellStart"/>
      <w:r w:rsidRPr="00C71B1B">
        <w:rPr>
          <w:sz w:val="28"/>
          <w:szCs w:val="28"/>
        </w:rPr>
        <w:t>задоволення</w:t>
      </w:r>
      <w:proofErr w:type="spellEnd"/>
      <w:r w:rsidRPr="00C71B1B">
        <w:rPr>
          <w:sz w:val="28"/>
          <w:szCs w:val="28"/>
        </w:rPr>
        <w:t xml:space="preserve"> </w:t>
      </w:r>
      <w:proofErr w:type="spellStart"/>
      <w:r w:rsidRPr="00C71B1B">
        <w:rPr>
          <w:sz w:val="28"/>
          <w:szCs w:val="28"/>
        </w:rPr>
        <w:t>нагальних</w:t>
      </w:r>
      <w:proofErr w:type="spellEnd"/>
      <w:r w:rsidRPr="00C71B1B">
        <w:rPr>
          <w:sz w:val="28"/>
          <w:szCs w:val="28"/>
        </w:rPr>
        <w:t xml:space="preserve"> потреб </w:t>
      </w:r>
      <w:proofErr w:type="spellStart"/>
      <w:r w:rsidRPr="00C71B1B">
        <w:rPr>
          <w:sz w:val="28"/>
          <w:szCs w:val="28"/>
        </w:rPr>
        <w:t>населених</w:t>
      </w:r>
      <w:proofErr w:type="spellEnd"/>
      <w:r w:rsidRPr="00C71B1B">
        <w:rPr>
          <w:sz w:val="28"/>
          <w:szCs w:val="28"/>
        </w:rPr>
        <w:t xml:space="preserve"> </w:t>
      </w:r>
      <w:proofErr w:type="spellStart"/>
      <w:r w:rsidRPr="00C71B1B">
        <w:rPr>
          <w:sz w:val="28"/>
          <w:szCs w:val="28"/>
        </w:rPr>
        <w:t>пунктів</w:t>
      </w:r>
      <w:proofErr w:type="spellEnd"/>
      <w:r w:rsidRPr="00C71B1B">
        <w:rPr>
          <w:sz w:val="28"/>
          <w:szCs w:val="28"/>
        </w:rPr>
        <w:t xml:space="preserve"> </w:t>
      </w:r>
      <w:proofErr w:type="spellStart"/>
      <w:r w:rsidRPr="00C71B1B">
        <w:rPr>
          <w:sz w:val="28"/>
          <w:szCs w:val="28"/>
        </w:rPr>
        <w:t>сільської</w:t>
      </w:r>
      <w:proofErr w:type="spellEnd"/>
      <w:r w:rsidRPr="00C71B1B">
        <w:rPr>
          <w:sz w:val="28"/>
          <w:szCs w:val="28"/>
        </w:rPr>
        <w:t xml:space="preserve"> ради</w:t>
      </w:r>
      <w:r w:rsidRPr="00C71B1B">
        <w:rPr>
          <w:sz w:val="28"/>
          <w:szCs w:val="28"/>
          <w:lang w:val="uk-UA"/>
        </w:rPr>
        <w:t>;</w:t>
      </w:r>
    </w:p>
    <w:p w:rsidR="00366163" w:rsidRPr="00C71B1B" w:rsidRDefault="00366163" w:rsidP="00366163">
      <w:pPr>
        <w:jc w:val="both"/>
        <w:rPr>
          <w:sz w:val="28"/>
          <w:szCs w:val="28"/>
          <w:lang w:val="uk-UA"/>
        </w:rPr>
      </w:pPr>
      <w:r w:rsidRPr="00C71B1B">
        <w:rPr>
          <w:sz w:val="28"/>
          <w:szCs w:val="28"/>
          <w:lang w:val="uk-UA"/>
        </w:rPr>
        <w:t xml:space="preserve">       - безперебійн</w:t>
      </w:r>
      <w:r>
        <w:rPr>
          <w:sz w:val="28"/>
          <w:szCs w:val="28"/>
          <w:lang w:val="uk-UA"/>
        </w:rPr>
        <w:t>ому</w:t>
      </w:r>
      <w:r w:rsidRPr="00C71B1B">
        <w:rPr>
          <w:sz w:val="28"/>
          <w:szCs w:val="28"/>
          <w:lang w:val="uk-UA"/>
        </w:rPr>
        <w:t xml:space="preserve"> функціонуванн</w:t>
      </w:r>
      <w:r>
        <w:rPr>
          <w:sz w:val="28"/>
          <w:szCs w:val="28"/>
          <w:lang w:val="uk-UA"/>
        </w:rPr>
        <w:t>ю</w:t>
      </w:r>
      <w:r w:rsidRPr="00C71B1B">
        <w:rPr>
          <w:sz w:val="28"/>
          <w:szCs w:val="28"/>
          <w:lang w:val="uk-UA"/>
        </w:rPr>
        <w:t xml:space="preserve"> бюджетних установ та закладів,  здійсненн</w:t>
      </w:r>
      <w:r>
        <w:rPr>
          <w:sz w:val="28"/>
          <w:szCs w:val="28"/>
          <w:lang w:val="uk-UA"/>
        </w:rPr>
        <w:t xml:space="preserve">ю </w:t>
      </w:r>
      <w:r w:rsidRPr="00C71B1B">
        <w:rPr>
          <w:sz w:val="28"/>
          <w:szCs w:val="28"/>
          <w:lang w:val="uk-UA"/>
        </w:rPr>
        <w:t>заходів з благоустрою населених пунктів сільської ради, виконанню програми економічного і соціального розвитку сільської ради.</w:t>
      </w:r>
    </w:p>
    <w:p w:rsidR="001D2C2A" w:rsidRDefault="001D2C2A" w:rsidP="00366163">
      <w:pPr>
        <w:jc w:val="both"/>
        <w:rPr>
          <w:b/>
          <w:sz w:val="28"/>
          <w:lang w:val="uk-UA"/>
        </w:rPr>
      </w:pPr>
    </w:p>
    <w:p w:rsidR="00276FAD" w:rsidRDefault="00276FAD" w:rsidP="001D2C2A">
      <w:pPr>
        <w:tabs>
          <w:tab w:val="num" w:pos="540"/>
        </w:tabs>
        <w:jc w:val="both"/>
        <w:rPr>
          <w:b/>
          <w:sz w:val="28"/>
          <w:lang w:val="uk-UA"/>
        </w:rPr>
      </w:pPr>
    </w:p>
    <w:p w:rsidR="001443DD" w:rsidRPr="003874AB" w:rsidRDefault="001D2C2A" w:rsidP="001D2C2A">
      <w:pPr>
        <w:tabs>
          <w:tab w:val="num" w:pos="540"/>
        </w:tabs>
        <w:jc w:val="both"/>
        <w:rPr>
          <w:b/>
          <w:sz w:val="28"/>
          <w:lang w:val="uk-UA"/>
        </w:rPr>
      </w:pPr>
      <w:r w:rsidRPr="003874AB">
        <w:rPr>
          <w:b/>
          <w:sz w:val="28"/>
          <w:lang w:val="uk-UA"/>
        </w:rPr>
        <w:t>Сільський голова                                                              Анатолій БОЯРЧУК</w:t>
      </w:r>
    </w:p>
    <w:p w:rsidR="0015484E" w:rsidRDefault="00763D01" w:rsidP="00AC7A1E">
      <w:pPr>
        <w:tabs>
          <w:tab w:val="num" w:pos="540"/>
        </w:tabs>
        <w:jc w:val="both"/>
        <w:rPr>
          <w:b/>
          <w:lang w:val="uk-UA"/>
        </w:rPr>
      </w:pPr>
      <w:r>
        <w:rPr>
          <w:sz w:val="28"/>
          <w:lang w:val="uk-UA"/>
        </w:rPr>
        <w:t>01</w:t>
      </w:r>
      <w:r w:rsidR="00366163">
        <w:rPr>
          <w:sz w:val="28"/>
          <w:lang w:val="uk-UA"/>
        </w:rPr>
        <w:t>.0</w:t>
      </w:r>
      <w:r>
        <w:rPr>
          <w:sz w:val="28"/>
          <w:lang w:val="uk-UA"/>
        </w:rPr>
        <w:t>5</w:t>
      </w:r>
      <w:r w:rsidR="00366163">
        <w:rPr>
          <w:sz w:val="28"/>
          <w:lang w:val="uk-UA"/>
        </w:rPr>
        <w:t>.2025</w:t>
      </w:r>
    </w:p>
    <w:sectPr w:rsidR="0015484E" w:rsidSect="00D44F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lang w:val="ru-RU"/>
      </w:rPr>
    </w:lvl>
    <w:lvl w:ilvl="1">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lang w:val="ru-RU"/>
      </w:rPr>
    </w:lvl>
    <w:lvl w:ilvl="2">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lang w:val="ru-RU"/>
      </w:rPr>
    </w:lvl>
    <w:lvl w:ilvl="3">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lang w:val="ru-RU"/>
      </w:rPr>
    </w:lvl>
    <w:lvl w:ilvl="4">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lang w:val="ru-RU"/>
      </w:rPr>
    </w:lvl>
    <w:lvl w:ilvl="5">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lang w:val="ru-RU"/>
      </w:rPr>
    </w:lvl>
    <w:lvl w:ilvl="6">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lang w:val="ru-RU"/>
      </w:rPr>
    </w:lvl>
    <w:lvl w:ilvl="7">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lang w:val="ru-RU"/>
      </w:rPr>
    </w:lvl>
    <w:lvl w:ilvl="8">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lang w:val="ru-R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C2A"/>
    <w:rsid w:val="00053699"/>
    <w:rsid w:val="00066DBC"/>
    <w:rsid w:val="00074E4B"/>
    <w:rsid w:val="00080A12"/>
    <w:rsid w:val="000835FB"/>
    <w:rsid w:val="000D618E"/>
    <w:rsid w:val="001443DD"/>
    <w:rsid w:val="0015484E"/>
    <w:rsid w:val="00192E72"/>
    <w:rsid w:val="001A3AF7"/>
    <w:rsid w:val="001D2C2A"/>
    <w:rsid w:val="001F4758"/>
    <w:rsid w:val="00235C9C"/>
    <w:rsid w:val="00253C93"/>
    <w:rsid w:val="0027323A"/>
    <w:rsid w:val="00276FAD"/>
    <w:rsid w:val="00366163"/>
    <w:rsid w:val="00370AF6"/>
    <w:rsid w:val="003874AB"/>
    <w:rsid w:val="003962C1"/>
    <w:rsid w:val="004130A5"/>
    <w:rsid w:val="004135AF"/>
    <w:rsid w:val="004650A5"/>
    <w:rsid w:val="004D4736"/>
    <w:rsid w:val="004F2254"/>
    <w:rsid w:val="005328AA"/>
    <w:rsid w:val="005F09DA"/>
    <w:rsid w:val="006415FB"/>
    <w:rsid w:val="00647F37"/>
    <w:rsid w:val="00654452"/>
    <w:rsid w:val="00657AFC"/>
    <w:rsid w:val="00675264"/>
    <w:rsid w:val="006D16C7"/>
    <w:rsid w:val="006E6D95"/>
    <w:rsid w:val="007235B1"/>
    <w:rsid w:val="00740656"/>
    <w:rsid w:val="00763D01"/>
    <w:rsid w:val="00793DA5"/>
    <w:rsid w:val="008424E9"/>
    <w:rsid w:val="008A7980"/>
    <w:rsid w:val="00905800"/>
    <w:rsid w:val="009D69B4"/>
    <w:rsid w:val="00A75F43"/>
    <w:rsid w:val="00A973B7"/>
    <w:rsid w:val="00AA2DD0"/>
    <w:rsid w:val="00AA394B"/>
    <w:rsid w:val="00AB1C2D"/>
    <w:rsid w:val="00AB6261"/>
    <w:rsid w:val="00AC24CA"/>
    <w:rsid w:val="00AC7A1E"/>
    <w:rsid w:val="00B15D7D"/>
    <w:rsid w:val="00B8337E"/>
    <w:rsid w:val="00B844A7"/>
    <w:rsid w:val="00B97CD9"/>
    <w:rsid w:val="00BC2DB0"/>
    <w:rsid w:val="00C00179"/>
    <w:rsid w:val="00C204E2"/>
    <w:rsid w:val="00C673B3"/>
    <w:rsid w:val="00C86B59"/>
    <w:rsid w:val="00C944A0"/>
    <w:rsid w:val="00CF0B3D"/>
    <w:rsid w:val="00D07B79"/>
    <w:rsid w:val="00D44F26"/>
    <w:rsid w:val="00EA53D6"/>
    <w:rsid w:val="00EE1E1B"/>
    <w:rsid w:val="00EE52B2"/>
    <w:rsid w:val="00F321DB"/>
    <w:rsid w:val="00F646B6"/>
    <w:rsid w:val="00FA4860"/>
    <w:rsid w:val="00FB46C5"/>
    <w:rsid w:val="00FF5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5598A7-1A04-4D1C-96E2-49146F5C4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C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2C2A"/>
    <w:pPr>
      <w:spacing w:after="120"/>
    </w:pPr>
  </w:style>
  <w:style w:type="character" w:customStyle="1" w:styleId="a4">
    <w:name w:val="Основной текст Знак"/>
    <w:basedOn w:val="a0"/>
    <w:link w:val="a3"/>
    <w:rsid w:val="001D2C2A"/>
    <w:rPr>
      <w:rFonts w:ascii="Times New Roman" w:eastAsia="Times New Roman" w:hAnsi="Times New Roman" w:cs="Times New Roman"/>
      <w:sz w:val="24"/>
      <w:szCs w:val="24"/>
      <w:lang w:eastAsia="ru-RU"/>
    </w:rPr>
  </w:style>
  <w:style w:type="paragraph" w:styleId="a5">
    <w:name w:val="No Spacing"/>
    <w:link w:val="a6"/>
    <w:uiPriority w:val="99"/>
    <w:qFormat/>
    <w:rsid w:val="001D2C2A"/>
    <w:pPr>
      <w:suppressAutoHyphens/>
      <w:spacing w:after="0" w:line="240" w:lineRule="auto"/>
    </w:pPr>
    <w:rPr>
      <w:rFonts w:ascii="Times New Roman" w:eastAsia="Times New Roman" w:hAnsi="Times New Roman" w:cs="Times New Roman"/>
      <w:sz w:val="28"/>
      <w:szCs w:val="20"/>
      <w:lang w:eastAsia="ar-SA"/>
    </w:rPr>
  </w:style>
  <w:style w:type="character" w:customStyle="1" w:styleId="a6">
    <w:name w:val="Без интервала Знак"/>
    <w:link w:val="a5"/>
    <w:uiPriority w:val="99"/>
    <w:locked/>
    <w:rsid w:val="001D2C2A"/>
    <w:rPr>
      <w:rFonts w:ascii="Times New Roman" w:eastAsia="Times New Roman" w:hAnsi="Times New Roman" w:cs="Times New Roman"/>
      <w:sz w:val="28"/>
      <w:szCs w:val="20"/>
      <w:lang w:eastAsia="ar-SA"/>
    </w:rPr>
  </w:style>
  <w:style w:type="character" w:styleId="a7">
    <w:name w:val="Hyperlink"/>
    <w:basedOn w:val="a0"/>
    <w:rsid w:val="001D2C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Офис</dc:creator>
  <cp:lastModifiedBy>User</cp:lastModifiedBy>
  <cp:revision>2</cp:revision>
  <cp:lastPrinted>2025-03-26T06:30:00Z</cp:lastPrinted>
  <dcterms:created xsi:type="dcterms:W3CDTF">2025-05-07T10:20:00Z</dcterms:created>
  <dcterms:modified xsi:type="dcterms:W3CDTF">2025-05-07T10:20:00Z</dcterms:modified>
</cp:coreProperties>
</file>