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3B8EE4D">
      <w:pPr>
        <w:spacing w:after="0" w:line="240" w:lineRule="auto"/>
        <w:jc w:val="center"/>
        <w:rPr>
          <w:rFonts w:ascii="Times New Roman" w:hAnsi="Times New Roman" w:eastAsia="Calibri"/>
          <w:b/>
          <w:sz w:val="28"/>
          <w:szCs w:val="28"/>
        </w:rPr>
      </w:pPr>
      <w:bookmarkStart w:id="0" w:name="_Hlk196382603"/>
      <w:r>
        <w:rPr>
          <w:rFonts w:ascii="Times New Roman" w:hAnsi="Times New Roman" w:eastAsia="Calibri"/>
          <w:b/>
          <w:sz w:val="28"/>
          <w:szCs w:val="28"/>
        </w:rPr>
        <w:drawing>
          <wp:inline distT="0" distB="0" distL="0" distR="0">
            <wp:extent cx="542925" cy="685800"/>
            <wp:effectExtent l="0" t="0" r="9525" b="0"/>
            <wp:docPr id="489965976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89965976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42925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eastAsia="Calibri"/>
          <w:b/>
          <w:sz w:val="28"/>
          <w:szCs w:val="28"/>
        </w:rPr>
        <w:t xml:space="preserve">                                    </w:t>
      </w:r>
    </w:p>
    <w:p w14:paraId="789AD95C">
      <w:pPr>
        <w:shd w:val="clear" w:color="auto" w:fill="FFFFFF"/>
        <w:spacing w:after="0" w:line="240" w:lineRule="auto"/>
        <w:jc w:val="center"/>
        <w:rPr>
          <w:rFonts w:ascii="Times New Roman" w:hAnsi="Times New Roman" w:eastAsia="Calibri"/>
          <w:b/>
          <w:bCs/>
          <w:sz w:val="26"/>
          <w:szCs w:val="26"/>
        </w:rPr>
      </w:pPr>
    </w:p>
    <w:p w14:paraId="67919302">
      <w:pPr>
        <w:shd w:val="clear" w:color="auto" w:fill="FFFFFF"/>
        <w:spacing w:after="0" w:line="240" w:lineRule="auto"/>
        <w:jc w:val="center"/>
        <w:rPr>
          <w:rFonts w:ascii="Times New Roman" w:hAnsi="Times New Roman" w:eastAsia="Calibri"/>
          <w:b/>
          <w:sz w:val="28"/>
          <w:szCs w:val="28"/>
        </w:rPr>
      </w:pPr>
      <w:r>
        <w:rPr>
          <w:rFonts w:ascii="Times New Roman" w:hAnsi="Times New Roman" w:eastAsia="Calibri"/>
          <w:b/>
          <w:sz w:val="28"/>
          <w:szCs w:val="28"/>
        </w:rPr>
        <w:t>ВИКОНАВЧИЙ КОМІТЕТ</w:t>
      </w:r>
    </w:p>
    <w:p w14:paraId="56C1A5D7">
      <w:pPr>
        <w:shd w:val="clear" w:color="auto" w:fill="FFFFFF"/>
        <w:spacing w:after="0" w:line="240" w:lineRule="auto"/>
        <w:jc w:val="center"/>
        <w:rPr>
          <w:rFonts w:ascii="Times New Roman" w:hAnsi="Times New Roman" w:eastAsia="Calibri"/>
          <w:b/>
          <w:sz w:val="28"/>
          <w:szCs w:val="28"/>
        </w:rPr>
      </w:pPr>
      <w:r>
        <w:rPr>
          <w:rFonts w:ascii="Times New Roman" w:hAnsi="Times New Roman" w:eastAsia="Calibri"/>
          <w:b/>
          <w:sz w:val="28"/>
          <w:szCs w:val="28"/>
        </w:rPr>
        <w:t>ПОПІВСЬКА СІЛЬСЬКА РАДА</w:t>
      </w:r>
    </w:p>
    <w:p w14:paraId="5E041B72">
      <w:pPr>
        <w:shd w:val="clear" w:color="auto" w:fill="FFFFFF"/>
        <w:spacing w:after="0" w:line="240" w:lineRule="auto"/>
        <w:jc w:val="center"/>
        <w:rPr>
          <w:rFonts w:ascii="Times New Roman" w:hAnsi="Times New Roman" w:eastAsia="Calibri"/>
          <w:sz w:val="28"/>
          <w:szCs w:val="28"/>
        </w:rPr>
      </w:pPr>
      <w:r>
        <w:rPr>
          <w:rFonts w:ascii="Times New Roman" w:hAnsi="Times New Roman" w:eastAsia="Calibri"/>
          <w:b/>
          <w:sz w:val="28"/>
          <w:szCs w:val="28"/>
        </w:rPr>
        <w:t>КОНОТОПСЬКОГО РАЙОНУ СУМСЬКОЇ ОБЛАСТІ</w:t>
      </w:r>
    </w:p>
    <w:p w14:paraId="5E9DC54B">
      <w:pPr>
        <w:spacing w:after="0" w:line="240" w:lineRule="auto"/>
        <w:jc w:val="center"/>
        <w:rPr>
          <w:rFonts w:ascii="Times New Roman" w:hAnsi="Times New Roman" w:eastAsia="Calibri"/>
          <w:sz w:val="28"/>
          <w:szCs w:val="28"/>
        </w:rPr>
      </w:pPr>
    </w:p>
    <w:p w14:paraId="65A6C920">
      <w:pPr>
        <w:spacing w:after="0" w:line="240" w:lineRule="auto"/>
        <w:jc w:val="center"/>
        <w:rPr>
          <w:rFonts w:hint="default" w:ascii="Times New Roman" w:hAnsi="Times New Roman" w:eastAsia="Calibri"/>
          <w:b/>
          <w:sz w:val="28"/>
          <w:szCs w:val="28"/>
          <w:lang w:val="uk-UA"/>
        </w:rPr>
      </w:pPr>
      <w:r>
        <w:rPr>
          <w:rFonts w:ascii="Times New Roman" w:hAnsi="Times New Roman" w:eastAsia="Calibri"/>
          <w:b/>
          <w:sz w:val="28"/>
          <w:szCs w:val="28"/>
        </w:rPr>
        <w:t>РІШЕННЯ №</w:t>
      </w:r>
      <w:r>
        <w:rPr>
          <w:rFonts w:hint="default" w:ascii="Times New Roman" w:hAnsi="Times New Roman" w:eastAsia="Calibri"/>
          <w:b/>
          <w:sz w:val="28"/>
          <w:szCs w:val="28"/>
          <w:lang w:val="uk-UA"/>
        </w:rPr>
        <w:t>132</w:t>
      </w:r>
    </w:p>
    <w:p w14:paraId="4A7ECCA2">
      <w:pPr>
        <w:spacing w:after="0" w:line="240" w:lineRule="auto"/>
        <w:rPr>
          <w:rFonts w:ascii="Times New Roman" w:hAnsi="Times New Roman" w:eastAsia="Calibri"/>
          <w:b/>
          <w:sz w:val="28"/>
          <w:szCs w:val="28"/>
        </w:rPr>
      </w:pPr>
      <w:r>
        <w:rPr>
          <w:rFonts w:ascii="Times New Roman" w:hAnsi="Times New Roman" w:eastAsia="Calibri"/>
          <w:b/>
          <w:sz w:val="28"/>
          <w:szCs w:val="28"/>
        </w:rPr>
        <w:t>05.05.2025                                                                                       с.Попівка</w:t>
      </w:r>
    </w:p>
    <w:p w14:paraId="7D7D2DED">
      <w:pPr>
        <w:spacing w:after="0" w:line="240" w:lineRule="auto"/>
        <w:jc w:val="both"/>
        <w:textAlignment w:val="baseline"/>
        <w:rPr>
          <w:rFonts w:ascii="Times New Roman" w:hAnsi="Times New Roman" w:eastAsia="Calibri"/>
          <w:b/>
          <w:sz w:val="28"/>
          <w:szCs w:val="28"/>
        </w:rPr>
      </w:pPr>
    </w:p>
    <w:p w14:paraId="12D2F9F4">
      <w:pPr>
        <w:spacing w:after="0" w:line="240" w:lineRule="auto"/>
        <w:jc w:val="both"/>
        <w:textAlignment w:val="baseline"/>
        <w:rPr>
          <w:rFonts w:ascii="Times New Roman" w:hAnsi="Times New Roman" w:eastAsia="Calibri"/>
          <w:b/>
          <w:sz w:val="28"/>
          <w:szCs w:val="28"/>
        </w:rPr>
      </w:pPr>
      <w:bookmarkStart w:id="1" w:name="_Hlk196979546"/>
      <w:r>
        <w:rPr>
          <w:rFonts w:ascii="Times New Roman" w:hAnsi="Times New Roman" w:eastAsia="Calibri"/>
          <w:b/>
          <w:sz w:val="28"/>
          <w:szCs w:val="28"/>
        </w:rPr>
        <w:t xml:space="preserve">Про створення та функціонування </w:t>
      </w:r>
    </w:p>
    <w:p w14:paraId="42CBC45B">
      <w:pPr>
        <w:spacing w:after="0" w:line="240" w:lineRule="auto"/>
        <w:jc w:val="both"/>
        <w:textAlignment w:val="baseline"/>
        <w:rPr>
          <w:rFonts w:ascii="Times New Roman" w:hAnsi="Times New Roman" w:eastAsia="Calibri"/>
          <w:b/>
          <w:sz w:val="28"/>
          <w:szCs w:val="28"/>
        </w:rPr>
      </w:pPr>
      <w:r>
        <w:rPr>
          <w:rFonts w:ascii="Times New Roman" w:hAnsi="Times New Roman" w:eastAsia="Calibri"/>
          <w:b/>
          <w:sz w:val="28"/>
          <w:szCs w:val="28"/>
        </w:rPr>
        <w:t xml:space="preserve">консультаційних пунктів для надання </w:t>
      </w:r>
    </w:p>
    <w:p w14:paraId="1E38B22C">
      <w:pPr>
        <w:spacing w:after="0" w:line="240" w:lineRule="auto"/>
        <w:jc w:val="both"/>
        <w:textAlignment w:val="baseline"/>
        <w:rPr>
          <w:rFonts w:ascii="Times New Roman" w:hAnsi="Times New Roman" w:eastAsia="Calibri"/>
          <w:b/>
          <w:sz w:val="28"/>
          <w:szCs w:val="28"/>
        </w:rPr>
      </w:pPr>
      <w:r>
        <w:rPr>
          <w:rFonts w:ascii="Times New Roman" w:hAnsi="Times New Roman" w:eastAsia="Calibri"/>
          <w:b/>
          <w:sz w:val="28"/>
          <w:szCs w:val="28"/>
        </w:rPr>
        <w:t xml:space="preserve">населенню за місцем проживання </w:t>
      </w:r>
    </w:p>
    <w:p w14:paraId="00181708">
      <w:pPr>
        <w:spacing w:after="0" w:line="240" w:lineRule="auto"/>
        <w:jc w:val="both"/>
        <w:textAlignment w:val="baseline"/>
        <w:rPr>
          <w:rFonts w:ascii="Times New Roman" w:hAnsi="Times New Roman" w:eastAsia="Calibri"/>
          <w:b/>
          <w:sz w:val="28"/>
          <w:szCs w:val="28"/>
        </w:rPr>
      </w:pPr>
      <w:r>
        <w:rPr>
          <w:rFonts w:ascii="Times New Roman" w:hAnsi="Times New Roman" w:eastAsia="Calibri"/>
          <w:b/>
          <w:sz w:val="28"/>
          <w:szCs w:val="28"/>
        </w:rPr>
        <w:t xml:space="preserve">інформації з питань цивільного захисту </w:t>
      </w:r>
    </w:p>
    <w:p w14:paraId="6935DAFB">
      <w:pPr>
        <w:spacing w:after="0" w:line="240" w:lineRule="auto"/>
        <w:jc w:val="both"/>
        <w:textAlignment w:val="baseline"/>
        <w:rPr>
          <w:rFonts w:ascii="Times New Roman" w:hAnsi="Times New Roman" w:eastAsia="Calibri"/>
          <w:b/>
          <w:sz w:val="28"/>
          <w:szCs w:val="28"/>
        </w:rPr>
      </w:pPr>
      <w:r>
        <w:rPr>
          <w:rFonts w:ascii="Times New Roman" w:hAnsi="Times New Roman" w:eastAsia="Calibri"/>
          <w:b/>
          <w:sz w:val="28"/>
          <w:szCs w:val="28"/>
        </w:rPr>
        <w:t>на території Попівської сільської ради</w:t>
      </w:r>
    </w:p>
    <w:p w14:paraId="6CEA3BCE">
      <w:pPr>
        <w:spacing w:after="0" w:line="240" w:lineRule="auto"/>
        <w:jc w:val="both"/>
        <w:textAlignment w:val="baseline"/>
        <w:rPr>
          <w:rFonts w:ascii="Times New Roman" w:hAnsi="Times New Roman" w:eastAsia="Calibri"/>
          <w:b/>
          <w:sz w:val="28"/>
          <w:szCs w:val="28"/>
        </w:rPr>
      </w:pPr>
      <w:r>
        <w:rPr>
          <w:rFonts w:ascii="Times New Roman" w:hAnsi="Times New Roman" w:eastAsia="Calibri"/>
          <w:b/>
          <w:sz w:val="28"/>
          <w:szCs w:val="28"/>
        </w:rPr>
        <w:t>Конотопського району Сумської області</w:t>
      </w:r>
      <w:bookmarkEnd w:id="1"/>
    </w:p>
    <w:p w14:paraId="3FF3D48E">
      <w:pPr>
        <w:spacing w:after="0" w:line="240" w:lineRule="auto"/>
        <w:jc w:val="both"/>
        <w:textAlignment w:val="baseline"/>
        <w:rPr>
          <w:rFonts w:ascii="Times New Roman" w:hAnsi="Times New Roman"/>
          <w:bCs/>
          <w:sz w:val="28"/>
          <w:szCs w:val="28"/>
          <w:lang w:eastAsia="uk-UA"/>
        </w:rPr>
      </w:pPr>
    </w:p>
    <w:p w14:paraId="521EC066">
      <w:pPr>
        <w:spacing w:after="0" w:line="240" w:lineRule="auto"/>
        <w:ind w:firstLine="708"/>
        <w:jc w:val="both"/>
        <w:rPr>
          <w:rFonts w:ascii="Times New Roman" w:hAnsi="Times New Roman" w:eastAsia="Calibri"/>
          <w:sz w:val="28"/>
          <w:szCs w:val="28"/>
        </w:rPr>
      </w:pPr>
      <w:r>
        <w:rPr>
          <w:rFonts w:ascii="Times New Roman" w:hAnsi="Times New Roman" w:eastAsia="Calibri"/>
          <w:sz w:val="28"/>
          <w:szCs w:val="28"/>
        </w:rPr>
        <w:t xml:space="preserve">З метою підвищення ефективності інформаційно-просвітницької роботи і пропаганди знань з питань захисту та дій у надзвичайних ситуаціях серед населення, відповідно до статті 36-1 Закону України «Про місцеве самоврядування в Україні», абзацу другого частини 2 статті 42 Кодексу цивільного захисту України, Порядку здійснення навчання населення діям у надзвичайних ситуаціях, затвердженого постановою Кабінетів Міністрів України № 444 від 26.06.2013 (зі змінами), Методики створення та функціонування  консультаційних пунктів для надання населенню за місцем проживання інформації з питань цивільного захисту, затвердженої наказом Міністерства внутрішніх справ України від 01.08.2024 року № 540, </w:t>
      </w:r>
    </w:p>
    <w:p w14:paraId="00C7F482">
      <w:pPr>
        <w:spacing w:after="0" w:line="240" w:lineRule="auto"/>
        <w:ind w:firstLine="708"/>
        <w:jc w:val="both"/>
        <w:rPr>
          <w:rFonts w:ascii="Times New Roman" w:hAnsi="Times New Roman" w:eastAsia="Calibri"/>
          <w:sz w:val="28"/>
          <w:szCs w:val="28"/>
        </w:rPr>
      </w:pPr>
      <w:r>
        <w:rPr>
          <w:rFonts w:ascii="Times New Roman" w:hAnsi="Times New Roman" w:eastAsia="Calibri"/>
          <w:sz w:val="28"/>
          <w:szCs w:val="28"/>
        </w:rPr>
        <w:t>виконавчий комітет вирішив:</w:t>
      </w:r>
    </w:p>
    <w:p w14:paraId="21702EF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 xml:space="preserve">1. Створити консультаційні пункти для надання населенню за місцем проживання інформації з питань цивільного захисту на території Попівської сільської ради Конотопського району Сумської області (далі - консультаційні пункти) та призначити відповідальних осіб за організацію роботи консультаційних пунктів, а саме : </w:t>
      </w:r>
    </w:p>
    <w:p w14:paraId="43CC2BC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- у приміщенні адміністративної будівлі Попівської сільської ради Конотопського району Сумської області за адресою: с. Попівка, вул. Миру, 1, відповідальна особа — спеціаліст І категорії Відділу-Центру надання адміністративних послуг Попівської сільської ради Конотопського району Сумської області Оксана КУДРА;</w:t>
      </w:r>
    </w:p>
    <w:p w14:paraId="6A2F111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- у приміщенні адміністративної будівлі Великосамбірського старостинського округу №1 за адресою: с. Великий Самбір, вул. Дептівська, 4, відповідальна особа — староста Антоніна ГРИЩЕНКО;</w:t>
      </w:r>
    </w:p>
    <w:p w14:paraId="16B5550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- у приміщенні адміністративної будівлі Вирівського старостинського округу №2 за адресою : с. Вирівка, вул. Центральна, 36, відповідальна особа — староста Ірина ТОЧИЛЕНКО;</w:t>
      </w:r>
    </w:p>
    <w:p w14:paraId="35A7389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- у приміщенні адміністративної будівлі Дептівського старостинського округу №3 за адресою: с. Дептівка, вул. Центральна, 1, відповідальна особа — староста Віктор НОВАК;</w:t>
      </w:r>
    </w:p>
    <w:p w14:paraId="35F58CD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- у приміщенні адміністративної будівлі Кошарівського старостинського округу №4 за адресою: с. Кошари, вул. Центральна, 1, відповідальна особа — староста Микола ЙОТКА;</w:t>
      </w:r>
    </w:p>
    <w:p w14:paraId="2828D4E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- у приміщенні адміністративної будівлі Кузьківського старостинського округу №5 за адресою: с. Кузьки, вул. Шевченка, 18а, відповідальна особа — староста Ігор НОВІКОВ;</w:t>
      </w:r>
    </w:p>
    <w:p w14:paraId="7752E26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- у приміщенні адміністративної будівлі Присеймівського старостинського округу №6 за адресою: с. Чорноплатове, вул. Шевченка, 38, відповідальна особа — староста Ольга ПОДОБРІЙ;</w:t>
      </w:r>
    </w:p>
    <w:p w14:paraId="41C44D9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- у приміщенні адміністративної будівлі Соснівського старостинського округу №7 за адресою: с. Соснівка, вул. Шкільна, 1, відповідальна особа — спеціаліст І категорії Відділу-Центру надання адміністративних послуг Попівської сільської ради Конотопського району Сумської області Тетяна КОВТУН;</w:t>
      </w:r>
    </w:p>
    <w:p w14:paraId="51146B0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- у приміщенні адміністративної будівлі Шаповалівського старостинського округу №8 за адресою: с. Шаповалівка, вул. Козацької Слави, 13, відповідальна особа — староста Тетяна ВЕЛИЧКО;</w:t>
      </w:r>
    </w:p>
    <w:p w14:paraId="175B051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- у приміщенні адміністративної будівлі Шевченківського старостинського округу №9 за адресою: с. Шевченкове, вул. Миру, 1, відповідальна особа — староста Микола СТУПАК;</w:t>
      </w:r>
    </w:p>
    <w:p w14:paraId="4E5BDFD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- у приміщенні адміністративної будівлі Юрівського старостинського округу №10 за адресою: с. Юрівка, вул. Центральна, 1, відповідальна особа — староста Сергій ГАЛЯН.</w:t>
      </w:r>
    </w:p>
    <w:p w14:paraId="408F432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2. Затвердити Положення про консультаційні пункти для надання населенню за місцем проживання інформації з питань цивільного захисту на території Попівської сільської ради Конотопського району Сумської області (додається).</w:t>
      </w:r>
    </w:p>
    <w:p w14:paraId="530EE66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3. Заступнику сільського голови з питань діяльності виконавчих органів ради Ірині КЛІГУНОВІЙ організувати роботу консультаційних пунктів, зазначених у пункті 1 цього рішення.</w:t>
      </w:r>
    </w:p>
    <w:p w14:paraId="2FBBDCE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4. Відповідальній особі за організацію цивільного захисту на території Попівської сільської ради Конотопського району Сумської області Ярославі ЧЕРНЯВСЬКІЙ:</w:t>
      </w:r>
    </w:p>
    <w:p w14:paraId="7DAB18E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 xml:space="preserve">4.1. Надати копії рішення про створення консультаційних пунктів до Конотопського районного управління Головного управління Державної служби України з надзвичайних ситуацій у Сумській області та </w:t>
      </w:r>
      <w:r>
        <w:rPr>
          <w:rFonts w:ascii="Times New Roman" w:hAnsi="Times New Roman" w:eastAsia="Calibri" w:cs="Times New Roman"/>
          <w:sz w:val="28"/>
          <w:szCs w:val="28"/>
        </w:rPr>
        <w:t>Навчально-методичного центру цивільного захисту та безпеки життєдіяльності Сумської області</w:t>
      </w:r>
      <w:r>
        <w:rPr>
          <w:rFonts w:ascii="Times New Roman" w:hAnsi="Times New Roman"/>
          <w:sz w:val="28"/>
          <w:szCs w:val="28"/>
          <w:lang w:eastAsia="uk-UA"/>
        </w:rPr>
        <w:t>.</w:t>
      </w:r>
    </w:p>
    <w:p w14:paraId="454DA3E7">
      <w:pPr>
        <w:spacing w:after="0" w:line="240" w:lineRule="auto"/>
        <w:ind w:firstLine="709"/>
        <w:jc w:val="both"/>
        <w:rPr>
          <w:rFonts w:ascii="Times New Roman" w:hAnsi="Times New Roman" w:eastAsia="Calibri"/>
          <w:sz w:val="28"/>
          <w:szCs w:val="28"/>
        </w:rPr>
      </w:pPr>
      <w:r>
        <w:rPr>
          <w:rFonts w:ascii="Times New Roman" w:hAnsi="Times New Roman" w:eastAsia="Calibri"/>
          <w:sz w:val="28"/>
          <w:szCs w:val="28"/>
        </w:rPr>
        <w:t>4.2. Забезпечити проходження навчання особами, відповідальними за організацію роботи консультаційного пункту (із встановленою періодичністю раз на три роки) на територіальних курсах цивільного захисту та безпеки життєдіяльності, навчально-методичних центрах цивільного захисту та безпеки життєдіяльності.</w:t>
      </w:r>
    </w:p>
    <w:p w14:paraId="5CDFF6DB">
      <w:pPr>
        <w:spacing w:after="0" w:line="240" w:lineRule="auto"/>
        <w:ind w:firstLine="709"/>
        <w:jc w:val="both"/>
        <w:rPr>
          <w:rFonts w:ascii="Times New Roman" w:hAnsi="Times New Roman" w:eastAsia="Calibri"/>
          <w:sz w:val="28"/>
          <w:szCs w:val="28"/>
        </w:rPr>
      </w:pPr>
      <w:r>
        <w:rPr>
          <w:rFonts w:ascii="Times New Roman" w:hAnsi="Times New Roman" w:eastAsia="Calibri"/>
          <w:sz w:val="28"/>
          <w:szCs w:val="28"/>
        </w:rPr>
        <w:t>4.3. Надавати постійну та оперативну інформацію населенню про стан техногенної безпеки, методи та способи забезпечення безпеки у разі можливих аварій та порядок оповіщення населення, яке проживає у зоні можливого ураження.</w:t>
      </w:r>
    </w:p>
    <w:p w14:paraId="138314A1">
      <w:pPr>
        <w:spacing w:after="0" w:line="240" w:lineRule="auto"/>
        <w:ind w:firstLine="709"/>
        <w:jc w:val="both"/>
        <w:rPr>
          <w:rFonts w:ascii="Times New Roman" w:hAnsi="Times New Roman" w:eastAsia="Calibri"/>
          <w:sz w:val="28"/>
          <w:szCs w:val="28"/>
        </w:rPr>
      </w:pPr>
      <w:r>
        <w:rPr>
          <w:rFonts w:ascii="Times New Roman" w:hAnsi="Times New Roman" w:eastAsia="Calibri"/>
          <w:sz w:val="28"/>
          <w:szCs w:val="28"/>
        </w:rPr>
        <w:t xml:space="preserve">4.4. </w:t>
      </w:r>
      <w:r>
        <w:rPr>
          <w:rFonts w:ascii="Times New Roman" w:hAnsi="Times New Roman"/>
          <w:sz w:val="28"/>
          <w:szCs w:val="28"/>
          <w:lang w:eastAsia="uk-UA"/>
        </w:rPr>
        <w:t>В строк до 01.06.2025 надати сільському голові на затвердження план роботи консультаційних пунктів та графік проведення консультацій на 2025 рік.</w:t>
      </w:r>
    </w:p>
    <w:p w14:paraId="766D240A">
      <w:pPr>
        <w:spacing w:after="0" w:line="240" w:lineRule="auto"/>
        <w:ind w:firstLine="709"/>
        <w:jc w:val="both"/>
        <w:rPr>
          <w:rFonts w:ascii="Times New Roman" w:hAnsi="Times New Roman" w:eastAsia="Calibri"/>
          <w:sz w:val="28"/>
          <w:szCs w:val="28"/>
        </w:rPr>
      </w:pPr>
      <w:r>
        <w:rPr>
          <w:rFonts w:ascii="Times New Roman" w:hAnsi="Times New Roman" w:eastAsia="Calibri"/>
          <w:sz w:val="28"/>
          <w:szCs w:val="28"/>
        </w:rPr>
        <w:t xml:space="preserve">4.5. </w:t>
      </w:r>
      <w:r>
        <w:rPr>
          <w:rFonts w:ascii="Times New Roman" w:hAnsi="Times New Roman"/>
          <w:sz w:val="28"/>
          <w:szCs w:val="28"/>
          <w:lang w:eastAsia="uk-UA"/>
        </w:rPr>
        <w:t>Звіт про проведену роботу консультаційних пунктів надавати щорічно до 25 грудня</w:t>
      </w:r>
      <w:r>
        <w:rPr>
          <w:rFonts w:ascii="Times New Roman" w:hAnsi="Times New Roman" w:eastAsia="Calibri"/>
          <w:sz w:val="28"/>
          <w:szCs w:val="28"/>
        </w:rPr>
        <w:t xml:space="preserve"> виконавчому комітету Попівської сільської ради Конотопського району Сумської області</w:t>
      </w:r>
      <w:r>
        <w:rPr>
          <w:rFonts w:ascii="Times New Roman" w:hAnsi="Times New Roman"/>
          <w:sz w:val="28"/>
          <w:szCs w:val="28"/>
          <w:lang w:eastAsia="uk-UA"/>
        </w:rPr>
        <w:t>.</w:t>
      </w:r>
    </w:p>
    <w:p w14:paraId="01C6F7FC">
      <w:pPr>
        <w:spacing w:after="0" w:line="240" w:lineRule="auto"/>
        <w:ind w:firstLine="709"/>
        <w:jc w:val="both"/>
        <w:rPr>
          <w:rFonts w:ascii="Times New Roman" w:hAnsi="Times New Roman" w:eastAsia="Calibri"/>
          <w:sz w:val="28"/>
          <w:szCs w:val="28"/>
        </w:rPr>
      </w:pPr>
      <w:r>
        <w:rPr>
          <w:rFonts w:ascii="Times New Roman" w:hAnsi="Times New Roman"/>
          <w:sz w:val="28"/>
          <w:szCs w:val="28"/>
          <w:lang w:eastAsia="uk-UA"/>
        </w:rPr>
        <w:t xml:space="preserve">5. Контроль за виконанням цього рішення покласти на заступника сільського голови </w:t>
      </w:r>
      <w:r>
        <w:rPr>
          <w:rFonts w:ascii="Times New Roman" w:hAnsi="Times New Roman" w:eastAsia="Calibri"/>
          <w:sz w:val="28"/>
          <w:szCs w:val="28"/>
        </w:rPr>
        <w:t>з питань діяльності виконавчих органів ради Ірину КЛІГУНОВУ.</w:t>
      </w:r>
    </w:p>
    <w:p w14:paraId="0E4D9E86">
      <w:pPr>
        <w:spacing w:after="0" w:line="240" w:lineRule="auto"/>
        <w:jc w:val="both"/>
        <w:textAlignment w:val="baseline"/>
        <w:rPr>
          <w:rFonts w:ascii="Times New Roman" w:hAnsi="Times New Roman"/>
          <w:bCs/>
          <w:sz w:val="28"/>
          <w:szCs w:val="28"/>
          <w:lang w:eastAsia="uk-UA"/>
        </w:rPr>
      </w:pPr>
    </w:p>
    <w:p w14:paraId="21DB9D06">
      <w:pPr>
        <w:spacing w:after="0" w:line="240" w:lineRule="auto"/>
        <w:jc w:val="both"/>
        <w:textAlignment w:val="baseline"/>
        <w:rPr>
          <w:rFonts w:ascii="Times New Roman" w:hAnsi="Times New Roman"/>
          <w:bCs/>
          <w:sz w:val="28"/>
          <w:szCs w:val="28"/>
          <w:lang w:eastAsia="uk-UA"/>
        </w:rPr>
      </w:pPr>
    </w:p>
    <w:p w14:paraId="52C72F34">
      <w:pPr>
        <w:spacing w:after="0" w:line="240" w:lineRule="auto"/>
        <w:jc w:val="both"/>
        <w:textAlignment w:val="baseline"/>
        <w:rPr>
          <w:rFonts w:ascii="Times New Roman" w:hAnsi="Times New Roman"/>
          <w:bCs/>
          <w:sz w:val="28"/>
          <w:szCs w:val="28"/>
          <w:lang w:eastAsia="uk-UA"/>
        </w:rPr>
      </w:pPr>
      <w:r>
        <w:rPr>
          <w:rFonts w:ascii="Times New Roman" w:hAnsi="Times New Roman"/>
          <w:b/>
          <w:bCs/>
          <w:sz w:val="28"/>
          <w:szCs w:val="28"/>
          <w:lang w:eastAsia="uk-UA"/>
        </w:rPr>
        <w:t>Сільський голова</w:t>
      </w:r>
      <w:r>
        <w:rPr>
          <w:rFonts w:ascii="Times New Roman" w:hAnsi="Times New Roman"/>
          <w:bCs/>
          <w:sz w:val="28"/>
          <w:szCs w:val="28"/>
          <w:lang w:eastAsia="uk-UA"/>
        </w:rPr>
        <w:tab/>
      </w:r>
      <w:r>
        <w:rPr>
          <w:rFonts w:ascii="Times New Roman" w:hAnsi="Times New Roman"/>
          <w:bCs/>
          <w:sz w:val="28"/>
          <w:szCs w:val="28"/>
          <w:lang w:eastAsia="uk-UA"/>
        </w:rPr>
        <w:t xml:space="preserve">                                                   </w:t>
      </w:r>
      <w:r>
        <w:rPr>
          <w:rFonts w:ascii="Times New Roman" w:hAnsi="Times New Roman"/>
          <w:b/>
          <w:bCs/>
          <w:sz w:val="28"/>
          <w:szCs w:val="28"/>
          <w:lang w:eastAsia="uk-UA"/>
        </w:rPr>
        <w:t>Анатолій БОЯРЧУК</w:t>
      </w:r>
    </w:p>
    <w:p w14:paraId="3E6AC465">
      <w:pPr>
        <w:spacing w:after="0" w:line="240" w:lineRule="auto"/>
        <w:rPr>
          <w:rFonts w:ascii="Times New Roman" w:hAnsi="Times New Roman" w:eastAsia="Calibri"/>
          <w:sz w:val="18"/>
          <w:szCs w:val="18"/>
        </w:rPr>
      </w:pPr>
    </w:p>
    <w:p w14:paraId="20FD1CC0">
      <w:pPr>
        <w:spacing w:after="0" w:line="240" w:lineRule="auto"/>
        <w:rPr>
          <w:rFonts w:ascii="Times New Roman" w:hAnsi="Times New Roman" w:eastAsia="Calibri"/>
          <w:sz w:val="18"/>
          <w:szCs w:val="18"/>
        </w:rPr>
      </w:pPr>
    </w:p>
    <w:p w14:paraId="2944C539">
      <w:pPr>
        <w:spacing w:after="0" w:line="240" w:lineRule="auto"/>
        <w:rPr>
          <w:rFonts w:ascii="Times New Roman" w:hAnsi="Times New Roman" w:eastAsia="Calibri"/>
          <w:sz w:val="18"/>
          <w:szCs w:val="18"/>
        </w:rPr>
      </w:pPr>
    </w:p>
    <w:p w14:paraId="4E4EDC85">
      <w:pPr>
        <w:spacing w:after="0" w:line="240" w:lineRule="auto"/>
        <w:rPr>
          <w:rFonts w:ascii="Times New Roman" w:hAnsi="Times New Roman" w:eastAsia="Calibri"/>
          <w:sz w:val="18"/>
          <w:szCs w:val="18"/>
        </w:rPr>
      </w:pPr>
    </w:p>
    <w:p w14:paraId="426EB8BA">
      <w:pPr>
        <w:spacing w:after="0" w:line="240" w:lineRule="auto"/>
        <w:rPr>
          <w:rFonts w:ascii="Times New Roman" w:hAnsi="Times New Roman" w:eastAsia="Calibri"/>
          <w:sz w:val="18"/>
          <w:szCs w:val="18"/>
        </w:rPr>
      </w:pPr>
    </w:p>
    <w:p w14:paraId="2CB18C51">
      <w:pPr>
        <w:spacing w:after="0" w:line="240" w:lineRule="auto"/>
        <w:rPr>
          <w:rFonts w:ascii="Times New Roman" w:hAnsi="Times New Roman" w:eastAsia="Calibri"/>
          <w:sz w:val="18"/>
          <w:szCs w:val="18"/>
        </w:rPr>
      </w:pPr>
    </w:p>
    <w:p w14:paraId="3260C39D">
      <w:pPr>
        <w:spacing w:after="0" w:line="240" w:lineRule="auto"/>
        <w:rPr>
          <w:rFonts w:ascii="Times New Roman" w:hAnsi="Times New Roman" w:eastAsia="Calibri"/>
          <w:sz w:val="18"/>
          <w:szCs w:val="18"/>
        </w:rPr>
      </w:pPr>
    </w:p>
    <w:p w14:paraId="453D1CC0">
      <w:pPr>
        <w:spacing w:after="0" w:line="240" w:lineRule="auto"/>
        <w:rPr>
          <w:rFonts w:ascii="Times New Roman" w:hAnsi="Times New Roman" w:eastAsia="Calibri"/>
          <w:sz w:val="18"/>
          <w:szCs w:val="18"/>
        </w:rPr>
      </w:pPr>
    </w:p>
    <w:p w14:paraId="5484CCDD">
      <w:pPr>
        <w:spacing w:after="0" w:line="240" w:lineRule="auto"/>
        <w:rPr>
          <w:rFonts w:ascii="Times New Roman" w:hAnsi="Times New Roman" w:eastAsia="Calibri"/>
          <w:sz w:val="18"/>
          <w:szCs w:val="18"/>
        </w:rPr>
      </w:pPr>
    </w:p>
    <w:p w14:paraId="05B40F55">
      <w:pPr>
        <w:spacing w:after="0" w:line="240" w:lineRule="auto"/>
        <w:rPr>
          <w:rFonts w:ascii="Times New Roman" w:hAnsi="Times New Roman" w:eastAsia="Calibri"/>
          <w:sz w:val="18"/>
          <w:szCs w:val="18"/>
        </w:rPr>
      </w:pPr>
    </w:p>
    <w:p w14:paraId="67BCE992">
      <w:pPr>
        <w:spacing w:after="0" w:line="240" w:lineRule="auto"/>
        <w:rPr>
          <w:rFonts w:ascii="Times New Roman" w:hAnsi="Times New Roman" w:eastAsia="Calibri"/>
          <w:sz w:val="18"/>
          <w:szCs w:val="18"/>
        </w:rPr>
      </w:pPr>
    </w:p>
    <w:p w14:paraId="555980FF">
      <w:pPr>
        <w:spacing w:after="0" w:line="240" w:lineRule="auto"/>
        <w:rPr>
          <w:rFonts w:ascii="Times New Roman" w:hAnsi="Times New Roman" w:eastAsia="Calibri"/>
          <w:sz w:val="18"/>
          <w:szCs w:val="18"/>
        </w:rPr>
      </w:pPr>
    </w:p>
    <w:p w14:paraId="65B6933F">
      <w:pPr>
        <w:spacing w:after="0" w:line="240" w:lineRule="auto"/>
        <w:rPr>
          <w:rFonts w:ascii="Times New Roman" w:hAnsi="Times New Roman" w:eastAsia="Calibri"/>
          <w:sz w:val="18"/>
          <w:szCs w:val="18"/>
        </w:rPr>
      </w:pPr>
    </w:p>
    <w:p w14:paraId="283BC535">
      <w:pPr>
        <w:spacing w:after="0" w:line="240" w:lineRule="auto"/>
        <w:rPr>
          <w:rFonts w:ascii="Times New Roman" w:hAnsi="Times New Roman" w:eastAsia="Calibri"/>
          <w:sz w:val="18"/>
          <w:szCs w:val="18"/>
        </w:rPr>
      </w:pPr>
    </w:p>
    <w:p w14:paraId="18095C9F">
      <w:pPr>
        <w:spacing w:after="0" w:line="240" w:lineRule="auto"/>
        <w:rPr>
          <w:rFonts w:ascii="Times New Roman" w:hAnsi="Times New Roman" w:eastAsia="Calibri"/>
          <w:sz w:val="18"/>
          <w:szCs w:val="18"/>
        </w:rPr>
      </w:pPr>
    </w:p>
    <w:p w14:paraId="3A32F57C">
      <w:pPr>
        <w:spacing w:after="0" w:line="240" w:lineRule="auto"/>
        <w:rPr>
          <w:rFonts w:ascii="Times New Roman" w:hAnsi="Times New Roman" w:eastAsia="Calibri"/>
          <w:sz w:val="18"/>
          <w:szCs w:val="18"/>
        </w:rPr>
      </w:pPr>
    </w:p>
    <w:p w14:paraId="278DE957">
      <w:pPr>
        <w:spacing w:after="0" w:line="240" w:lineRule="auto"/>
        <w:rPr>
          <w:rFonts w:ascii="Times New Roman" w:hAnsi="Times New Roman" w:eastAsia="Calibri"/>
          <w:sz w:val="18"/>
          <w:szCs w:val="18"/>
        </w:rPr>
      </w:pPr>
    </w:p>
    <w:p w14:paraId="0A3D745E">
      <w:pPr>
        <w:spacing w:after="0" w:line="240" w:lineRule="auto"/>
        <w:rPr>
          <w:rFonts w:ascii="Times New Roman" w:hAnsi="Times New Roman" w:eastAsia="Calibri"/>
          <w:sz w:val="18"/>
          <w:szCs w:val="18"/>
        </w:rPr>
      </w:pPr>
    </w:p>
    <w:p w14:paraId="31EF6BFA">
      <w:pPr>
        <w:spacing w:after="0" w:line="240" w:lineRule="auto"/>
        <w:rPr>
          <w:rFonts w:ascii="Times New Roman" w:hAnsi="Times New Roman" w:eastAsia="Calibri"/>
          <w:sz w:val="18"/>
          <w:szCs w:val="18"/>
        </w:rPr>
      </w:pPr>
    </w:p>
    <w:p w14:paraId="3DF432D6">
      <w:pPr>
        <w:spacing w:after="0" w:line="240" w:lineRule="auto"/>
        <w:rPr>
          <w:rFonts w:ascii="Times New Roman" w:hAnsi="Times New Roman" w:eastAsia="Calibri"/>
          <w:sz w:val="18"/>
          <w:szCs w:val="18"/>
        </w:rPr>
      </w:pPr>
    </w:p>
    <w:p w14:paraId="624657ED">
      <w:pPr>
        <w:spacing w:after="0" w:line="240" w:lineRule="auto"/>
        <w:rPr>
          <w:rFonts w:ascii="Times New Roman" w:hAnsi="Times New Roman" w:eastAsia="Calibri"/>
          <w:sz w:val="18"/>
          <w:szCs w:val="18"/>
        </w:rPr>
      </w:pPr>
    </w:p>
    <w:p w14:paraId="2DAC16D4">
      <w:pPr>
        <w:spacing w:after="0" w:line="240" w:lineRule="auto"/>
        <w:rPr>
          <w:rFonts w:ascii="Times New Roman" w:hAnsi="Times New Roman" w:eastAsia="Calibri"/>
          <w:sz w:val="18"/>
          <w:szCs w:val="18"/>
        </w:rPr>
      </w:pPr>
    </w:p>
    <w:p w14:paraId="6CA26A2F">
      <w:pPr>
        <w:spacing w:after="0" w:line="240" w:lineRule="auto"/>
        <w:rPr>
          <w:rFonts w:ascii="Times New Roman" w:hAnsi="Times New Roman" w:eastAsia="Calibri"/>
          <w:sz w:val="18"/>
          <w:szCs w:val="18"/>
        </w:rPr>
      </w:pPr>
    </w:p>
    <w:p w14:paraId="33A09BC9">
      <w:pPr>
        <w:spacing w:after="0" w:line="240" w:lineRule="auto"/>
        <w:rPr>
          <w:rFonts w:ascii="Times New Roman" w:hAnsi="Times New Roman" w:eastAsia="Calibri"/>
          <w:sz w:val="18"/>
          <w:szCs w:val="18"/>
        </w:rPr>
      </w:pPr>
    </w:p>
    <w:p w14:paraId="1B70311B">
      <w:pPr>
        <w:spacing w:after="0" w:line="240" w:lineRule="auto"/>
        <w:rPr>
          <w:rFonts w:ascii="Times New Roman" w:hAnsi="Times New Roman" w:eastAsia="Calibri"/>
          <w:sz w:val="18"/>
          <w:szCs w:val="18"/>
        </w:rPr>
      </w:pPr>
    </w:p>
    <w:p w14:paraId="5B4BF85F">
      <w:pPr>
        <w:spacing w:after="0" w:line="240" w:lineRule="auto"/>
        <w:rPr>
          <w:rFonts w:ascii="Times New Roman" w:hAnsi="Times New Roman" w:eastAsia="Calibri"/>
          <w:sz w:val="18"/>
          <w:szCs w:val="18"/>
        </w:rPr>
      </w:pPr>
    </w:p>
    <w:p w14:paraId="46D61A26">
      <w:pPr>
        <w:spacing w:after="0" w:line="240" w:lineRule="auto"/>
        <w:rPr>
          <w:rFonts w:ascii="Times New Roman" w:hAnsi="Times New Roman" w:eastAsia="Calibri"/>
          <w:sz w:val="18"/>
          <w:szCs w:val="18"/>
        </w:rPr>
      </w:pPr>
    </w:p>
    <w:p w14:paraId="49B33360">
      <w:pPr>
        <w:spacing w:after="0" w:line="240" w:lineRule="auto"/>
        <w:rPr>
          <w:rFonts w:ascii="Times New Roman" w:hAnsi="Times New Roman" w:eastAsia="Calibri"/>
          <w:sz w:val="18"/>
          <w:szCs w:val="18"/>
        </w:rPr>
      </w:pPr>
    </w:p>
    <w:p w14:paraId="387F9BEF">
      <w:pPr>
        <w:spacing w:after="0" w:line="240" w:lineRule="auto"/>
        <w:rPr>
          <w:rFonts w:ascii="Times New Roman" w:hAnsi="Times New Roman" w:eastAsia="Calibri"/>
          <w:sz w:val="18"/>
          <w:szCs w:val="18"/>
        </w:rPr>
      </w:pPr>
    </w:p>
    <w:p w14:paraId="6BEEFD95">
      <w:pPr>
        <w:spacing w:after="0" w:line="240" w:lineRule="auto"/>
        <w:rPr>
          <w:rFonts w:ascii="Times New Roman" w:hAnsi="Times New Roman" w:eastAsia="Calibri"/>
          <w:sz w:val="18"/>
          <w:szCs w:val="18"/>
        </w:rPr>
      </w:pPr>
    </w:p>
    <w:p w14:paraId="25ACD075">
      <w:pPr>
        <w:spacing w:after="0" w:line="240" w:lineRule="auto"/>
        <w:rPr>
          <w:rFonts w:ascii="Times New Roman" w:hAnsi="Times New Roman" w:eastAsia="Calibri"/>
          <w:sz w:val="18"/>
          <w:szCs w:val="18"/>
        </w:rPr>
      </w:pPr>
    </w:p>
    <w:p w14:paraId="50C11938">
      <w:pPr>
        <w:spacing w:after="0" w:line="240" w:lineRule="auto"/>
        <w:rPr>
          <w:rFonts w:ascii="Times New Roman" w:hAnsi="Times New Roman" w:eastAsia="Calibri"/>
          <w:sz w:val="18"/>
          <w:szCs w:val="18"/>
        </w:rPr>
      </w:pPr>
    </w:p>
    <w:p w14:paraId="389DB1E6">
      <w:pPr>
        <w:spacing w:after="0" w:line="240" w:lineRule="auto"/>
        <w:rPr>
          <w:rFonts w:ascii="Times New Roman" w:hAnsi="Times New Roman" w:eastAsia="Calibri"/>
          <w:sz w:val="18"/>
          <w:szCs w:val="18"/>
        </w:rPr>
      </w:pPr>
    </w:p>
    <w:p w14:paraId="70C0CF7F">
      <w:pPr>
        <w:spacing w:after="0" w:line="240" w:lineRule="auto"/>
        <w:rPr>
          <w:rFonts w:ascii="Times New Roman" w:hAnsi="Times New Roman" w:eastAsia="Calibri"/>
          <w:sz w:val="18"/>
          <w:szCs w:val="18"/>
        </w:rPr>
      </w:pPr>
    </w:p>
    <w:p w14:paraId="07EE8CAF">
      <w:pPr>
        <w:spacing w:after="0" w:line="240" w:lineRule="auto"/>
        <w:rPr>
          <w:rFonts w:ascii="Times New Roman" w:hAnsi="Times New Roman" w:eastAsia="Calibri"/>
          <w:sz w:val="18"/>
          <w:szCs w:val="18"/>
        </w:rPr>
      </w:pPr>
    </w:p>
    <w:p w14:paraId="0BA1228B">
      <w:pPr>
        <w:spacing w:after="0" w:line="240" w:lineRule="auto"/>
        <w:rPr>
          <w:rFonts w:ascii="Times New Roman" w:hAnsi="Times New Roman" w:eastAsia="Calibri"/>
          <w:sz w:val="18"/>
          <w:szCs w:val="18"/>
        </w:rPr>
      </w:pPr>
    </w:p>
    <w:p w14:paraId="67B9EB99">
      <w:pPr>
        <w:spacing w:after="0" w:line="240" w:lineRule="auto"/>
        <w:rPr>
          <w:rFonts w:ascii="Times New Roman" w:hAnsi="Times New Roman" w:eastAsia="Calibri"/>
          <w:sz w:val="18"/>
          <w:szCs w:val="18"/>
        </w:rPr>
      </w:pPr>
    </w:p>
    <w:p w14:paraId="53887C15">
      <w:pPr>
        <w:spacing w:after="0" w:line="240" w:lineRule="auto"/>
        <w:rPr>
          <w:rFonts w:ascii="Times New Roman" w:hAnsi="Times New Roman" w:eastAsia="Calibri"/>
          <w:sz w:val="18"/>
          <w:szCs w:val="18"/>
        </w:rPr>
      </w:pPr>
    </w:p>
    <w:p w14:paraId="2C2D7B66">
      <w:pPr>
        <w:spacing w:after="0" w:line="240" w:lineRule="auto"/>
        <w:rPr>
          <w:rFonts w:ascii="Times New Roman" w:hAnsi="Times New Roman" w:eastAsia="Calibri"/>
          <w:sz w:val="18"/>
          <w:szCs w:val="18"/>
        </w:rPr>
      </w:pPr>
    </w:p>
    <w:p w14:paraId="276B8D39">
      <w:pPr>
        <w:spacing w:after="0" w:line="240" w:lineRule="auto"/>
        <w:rPr>
          <w:rFonts w:ascii="Times New Roman" w:hAnsi="Times New Roman" w:eastAsia="Calibri"/>
          <w:sz w:val="18"/>
          <w:szCs w:val="18"/>
        </w:rPr>
      </w:pPr>
    </w:p>
    <w:p w14:paraId="28AF1F0C">
      <w:pPr>
        <w:spacing w:after="0" w:line="240" w:lineRule="auto"/>
        <w:rPr>
          <w:rFonts w:ascii="Times New Roman" w:hAnsi="Times New Roman" w:eastAsia="Calibri"/>
          <w:sz w:val="18"/>
          <w:szCs w:val="18"/>
        </w:rPr>
      </w:pPr>
    </w:p>
    <w:p w14:paraId="75621E3E">
      <w:pPr>
        <w:spacing w:after="0" w:line="240" w:lineRule="auto"/>
        <w:rPr>
          <w:rFonts w:ascii="Times New Roman" w:hAnsi="Times New Roman" w:eastAsia="Calibri"/>
          <w:sz w:val="18"/>
          <w:szCs w:val="18"/>
        </w:rPr>
      </w:pPr>
    </w:p>
    <w:p w14:paraId="24499FEE">
      <w:pPr>
        <w:spacing w:after="0" w:line="240" w:lineRule="auto"/>
        <w:rPr>
          <w:rFonts w:ascii="Times New Roman" w:hAnsi="Times New Roman" w:eastAsia="Calibri"/>
          <w:sz w:val="18"/>
          <w:szCs w:val="18"/>
        </w:rPr>
      </w:pPr>
    </w:p>
    <w:p w14:paraId="251A2DD5">
      <w:pPr>
        <w:spacing w:after="0" w:line="240" w:lineRule="auto"/>
        <w:rPr>
          <w:rFonts w:ascii="Times New Roman" w:hAnsi="Times New Roman" w:eastAsia="Calibri"/>
          <w:sz w:val="18"/>
          <w:szCs w:val="18"/>
        </w:rPr>
      </w:pPr>
    </w:p>
    <w:p w14:paraId="24B3DAAB">
      <w:pPr>
        <w:spacing w:after="0" w:line="240" w:lineRule="auto"/>
        <w:rPr>
          <w:rFonts w:ascii="Times New Roman" w:hAnsi="Times New Roman" w:eastAsia="Calibri"/>
          <w:sz w:val="18"/>
          <w:szCs w:val="18"/>
        </w:rPr>
      </w:pPr>
    </w:p>
    <w:p w14:paraId="72A5F1BE">
      <w:pPr>
        <w:spacing w:after="0" w:line="240" w:lineRule="auto"/>
        <w:rPr>
          <w:rFonts w:ascii="Times New Roman" w:hAnsi="Times New Roman" w:eastAsia="Calibri"/>
          <w:sz w:val="18"/>
          <w:szCs w:val="18"/>
        </w:rPr>
      </w:pPr>
      <w:r>
        <w:rPr>
          <w:rFonts w:ascii="Times New Roman" w:hAnsi="Times New Roman" w:eastAsia="Calibri"/>
          <w:sz w:val="18"/>
          <w:szCs w:val="18"/>
        </w:rPr>
        <w:t>Ірина КЛІГУНОВА</w:t>
      </w:r>
    </w:p>
    <w:p w14:paraId="6337FDAF">
      <w:pPr>
        <w:spacing w:after="0" w:line="240" w:lineRule="auto"/>
        <w:rPr>
          <w:rFonts w:ascii="Times New Roman" w:hAnsi="Times New Roman" w:eastAsia="Calibri"/>
          <w:sz w:val="18"/>
          <w:szCs w:val="18"/>
        </w:rPr>
      </w:pPr>
      <w:r>
        <w:rPr>
          <w:rFonts w:ascii="Times New Roman" w:hAnsi="Times New Roman" w:eastAsia="Calibri"/>
          <w:sz w:val="18"/>
          <w:szCs w:val="18"/>
        </w:rPr>
        <w:t>Ярослава ЧЕРНЯВСЬКА</w:t>
      </w:r>
    </w:p>
    <w:p w14:paraId="760BFF8F">
      <w:pPr>
        <w:spacing w:after="0" w:line="240" w:lineRule="auto"/>
        <w:jc w:val="both"/>
        <w:rPr>
          <w:rFonts w:ascii="Times New Roman" w:hAnsi="Times New Roman" w:eastAsia="Calibri"/>
          <w:sz w:val="18"/>
          <w:szCs w:val="18"/>
        </w:rPr>
      </w:pPr>
      <w:r>
        <w:rPr>
          <w:rFonts w:ascii="Times New Roman" w:hAnsi="Times New Roman" w:eastAsia="Calibri"/>
          <w:sz w:val="18"/>
          <w:szCs w:val="18"/>
          <w:shd w:val="clear" w:color="auto" w:fill="FFFFFF"/>
        </w:rPr>
        <w:t>Надіслано: до протоколу – 1, відділу земельних ресурсів та екології - 1, старостам старостинських округів – 9, Ковтун Т. – 1, Кудрі О. – 1, Конотопському РУ ГУ ДСНС України в Сумській області – 1, НМЦ ЦЗ та БЖД Сумської області - 1.</w:t>
      </w:r>
    </w:p>
    <w:p w14:paraId="2780C04C">
      <w:pPr>
        <w:spacing w:after="160" w:line="259" w:lineRule="auto"/>
        <w:rPr>
          <w:rFonts w:ascii="Calibri" w:hAnsi="Calibri" w:eastAsia="Calibri" w:cs="Times New Roman"/>
        </w:rPr>
      </w:pPr>
    </w:p>
    <w:p w14:paraId="4FE70AC6">
      <w:pPr>
        <w:spacing w:after="0" w:line="240" w:lineRule="auto"/>
        <w:rPr>
          <w:rFonts w:ascii="Times New Roman" w:hAnsi="Times New Roman" w:eastAsia="SimSun"/>
          <w:sz w:val="28"/>
          <w:szCs w:val="24"/>
          <w:lang w:eastAsia="uk-UA"/>
        </w:rPr>
      </w:pPr>
      <w:r>
        <w:rPr>
          <w:rFonts w:ascii="Times New Roman" w:hAnsi="Times New Roman" w:eastAsia="SimSun"/>
          <w:sz w:val="28"/>
          <w:szCs w:val="24"/>
          <w:lang w:eastAsia="uk-UA"/>
        </w:rPr>
        <w:t xml:space="preserve">                                                                             Додаток  </w:t>
      </w:r>
    </w:p>
    <w:p w14:paraId="6D953F12">
      <w:pPr>
        <w:spacing w:after="0" w:line="240" w:lineRule="auto"/>
        <w:rPr>
          <w:rFonts w:ascii="Times New Roman" w:hAnsi="Times New Roman" w:eastAsia="SimSun"/>
          <w:sz w:val="28"/>
          <w:szCs w:val="24"/>
          <w:lang w:eastAsia="uk-UA"/>
        </w:rPr>
      </w:pPr>
      <w:r>
        <w:rPr>
          <w:rFonts w:ascii="Times New Roman" w:hAnsi="Times New Roman" w:eastAsia="SimSun"/>
          <w:sz w:val="28"/>
          <w:szCs w:val="24"/>
          <w:lang w:eastAsia="uk-UA"/>
        </w:rPr>
        <w:t xml:space="preserve">                                                                             до рішення виконавчого комітету                 </w:t>
      </w:r>
    </w:p>
    <w:p w14:paraId="11A17A05">
      <w:pPr>
        <w:spacing w:after="0" w:line="240" w:lineRule="auto"/>
        <w:rPr>
          <w:rFonts w:hint="default" w:ascii="Times New Roman" w:hAnsi="Times New Roman" w:eastAsia="SimSun"/>
          <w:sz w:val="28"/>
          <w:szCs w:val="24"/>
          <w:lang w:val="en-US" w:eastAsia="uk-UA"/>
        </w:rPr>
      </w:pPr>
      <w:r>
        <w:rPr>
          <w:rFonts w:ascii="Times New Roman" w:hAnsi="Times New Roman" w:eastAsia="SimSun"/>
          <w:sz w:val="28"/>
          <w:szCs w:val="24"/>
          <w:lang w:eastAsia="uk-UA"/>
        </w:rPr>
        <w:t xml:space="preserve">                                                                             від 05.05.2025 року №</w:t>
      </w:r>
      <w:r>
        <w:rPr>
          <w:rFonts w:hint="default" w:ascii="Times New Roman" w:hAnsi="Times New Roman" w:eastAsia="SimSun"/>
          <w:sz w:val="28"/>
          <w:szCs w:val="24"/>
          <w:lang w:val="en-US" w:eastAsia="uk-UA"/>
        </w:rPr>
        <w:t>132</w:t>
      </w:r>
      <w:bookmarkStart w:id="3" w:name="_GoBack"/>
      <w:bookmarkEnd w:id="3"/>
    </w:p>
    <w:p w14:paraId="7AD2DB9E">
      <w:pPr>
        <w:spacing w:after="0" w:line="240" w:lineRule="auto"/>
        <w:rPr>
          <w:rFonts w:ascii="Times New Roman" w:hAnsi="Times New Roman" w:eastAsia="SimSun"/>
          <w:sz w:val="28"/>
          <w:szCs w:val="24"/>
          <w:lang w:eastAsia="uk-UA"/>
        </w:rPr>
      </w:pPr>
      <w:r>
        <w:rPr>
          <w:rFonts w:ascii="Times New Roman" w:hAnsi="Times New Roman" w:eastAsia="SimSun"/>
          <w:sz w:val="28"/>
          <w:szCs w:val="24"/>
          <w:lang w:eastAsia="uk-UA"/>
        </w:rPr>
        <w:t xml:space="preserve">                                                                             </w:t>
      </w:r>
    </w:p>
    <w:p w14:paraId="5A2D6201">
      <w:pPr>
        <w:spacing w:after="160" w:line="259" w:lineRule="auto"/>
        <w:rPr>
          <w:rFonts w:ascii="Times New Roman" w:hAnsi="Times New Roman" w:eastAsia="Calibri" w:cs="Times New Roman"/>
          <w:color w:val="000000"/>
          <w:lang w:eastAsia="ar-SA"/>
        </w:rPr>
      </w:pPr>
    </w:p>
    <w:p w14:paraId="4502758F">
      <w:pPr>
        <w:spacing w:after="0" w:line="240" w:lineRule="auto"/>
        <w:jc w:val="center"/>
        <w:rPr>
          <w:rFonts w:ascii="Times New Roman" w:hAnsi="Times New Roman" w:eastAsia="Calibri" w:cs="Times New Roman"/>
          <w:b/>
          <w:sz w:val="28"/>
          <w:szCs w:val="28"/>
        </w:rPr>
      </w:pPr>
      <w:r>
        <w:rPr>
          <w:rFonts w:ascii="Times New Roman" w:hAnsi="Times New Roman" w:eastAsia="Calibri" w:cs="Times New Roman"/>
          <w:b/>
          <w:sz w:val="28"/>
          <w:szCs w:val="28"/>
        </w:rPr>
        <w:t xml:space="preserve">ПОЛОЖЕННЯ </w:t>
      </w:r>
    </w:p>
    <w:p w14:paraId="461989F6">
      <w:pPr>
        <w:spacing w:after="0" w:line="240" w:lineRule="auto"/>
        <w:jc w:val="center"/>
        <w:rPr>
          <w:rFonts w:ascii="Times New Roman" w:hAnsi="Times New Roman" w:eastAsia="Calibri" w:cs="Times New Roman"/>
          <w:b/>
          <w:sz w:val="28"/>
          <w:szCs w:val="28"/>
        </w:rPr>
      </w:pPr>
      <w:r>
        <w:rPr>
          <w:rFonts w:ascii="Times New Roman" w:hAnsi="Times New Roman" w:eastAsia="Calibri" w:cs="Times New Roman"/>
          <w:b/>
          <w:sz w:val="28"/>
          <w:szCs w:val="28"/>
        </w:rPr>
        <w:t>про консультаційні пункти для надання населенню за місцем проживання інформації з питань цивільного захисту на території Попівської сільської ради Конотопського району Сумської області</w:t>
      </w:r>
    </w:p>
    <w:p w14:paraId="52CBF335">
      <w:pPr>
        <w:spacing w:after="0" w:line="240" w:lineRule="auto"/>
        <w:jc w:val="center"/>
        <w:rPr>
          <w:rFonts w:ascii="Times New Roman" w:hAnsi="Times New Roman" w:eastAsia="Calibri" w:cs="Times New Roman"/>
          <w:b/>
          <w:sz w:val="28"/>
          <w:szCs w:val="28"/>
        </w:rPr>
      </w:pPr>
    </w:p>
    <w:p w14:paraId="5C6021EA">
      <w:pPr>
        <w:spacing w:after="0" w:line="240" w:lineRule="auto"/>
        <w:jc w:val="center"/>
        <w:rPr>
          <w:rFonts w:ascii="Times New Roman" w:hAnsi="Times New Roman" w:eastAsia="Calibri" w:cs="Times New Roman"/>
          <w:b/>
          <w:bCs/>
          <w:sz w:val="28"/>
          <w:szCs w:val="28"/>
        </w:rPr>
      </w:pPr>
      <w:r>
        <w:rPr>
          <w:rFonts w:ascii="Times New Roman" w:hAnsi="Times New Roman" w:eastAsia="Calibri" w:cs="Times New Roman"/>
          <w:b/>
          <w:bCs/>
          <w:sz w:val="28"/>
          <w:szCs w:val="28"/>
        </w:rPr>
        <w:t>І. Загальні положення</w:t>
      </w:r>
    </w:p>
    <w:p w14:paraId="6F01FFBF">
      <w:pPr>
        <w:spacing w:after="0" w:line="240" w:lineRule="auto"/>
        <w:rPr>
          <w:rFonts w:ascii="Times New Roman" w:hAnsi="Times New Roman" w:eastAsia="Calibri" w:cs="Times New Roman"/>
          <w:sz w:val="28"/>
          <w:szCs w:val="28"/>
        </w:rPr>
      </w:pPr>
    </w:p>
    <w:p w14:paraId="3ABD3840">
      <w:pPr>
        <w:spacing w:after="0" w:line="240" w:lineRule="auto"/>
        <w:ind w:firstLine="709"/>
        <w:jc w:val="both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ascii="Times New Roman" w:hAnsi="Times New Roman" w:eastAsia="Calibri" w:cs="Times New Roman"/>
          <w:sz w:val="28"/>
          <w:szCs w:val="28"/>
        </w:rPr>
        <w:t>1. Консультаційний пункт для надання населенню за місцем проживання інформації з питань цивільного захисту на території Попівської сільської ради Конотопського району Сумської області (далі – консультаційні пункти) є осередками консультаційної та просвітницько-інформаційної роботи і пропаганди знань з питань цивільного захисту та безпеки життєдіяльності серед непрацюючого населення за місцем проживання.</w:t>
      </w:r>
    </w:p>
    <w:p w14:paraId="0823BE74">
      <w:pPr>
        <w:spacing w:after="0" w:line="240" w:lineRule="auto"/>
        <w:ind w:firstLine="709"/>
        <w:jc w:val="both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ascii="Times New Roman" w:hAnsi="Times New Roman" w:eastAsia="Calibri" w:cs="Times New Roman"/>
          <w:sz w:val="28"/>
          <w:szCs w:val="28"/>
        </w:rPr>
        <w:t xml:space="preserve">2. Консультаційні пункти у своїй діяльності керуються Кодексом цивільного захисту України, </w:t>
      </w:r>
      <w:r>
        <w:rPr>
          <w:rFonts w:ascii="Times New Roman" w:hAnsi="Times New Roman" w:eastAsia="Calibri"/>
          <w:sz w:val="28"/>
          <w:szCs w:val="28"/>
        </w:rPr>
        <w:t>Порядком здійснення навчання населення діям у надзвичайних ситуаціях, затвердженим постановою Кабінетів Міністрів України № 444 від 26.06.2013 (зі змінами)</w:t>
      </w:r>
      <w:r>
        <w:rPr>
          <w:rFonts w:ascii="Times New Roman" w:hAnsi="Times New Roman" w:eastAsia="Calibri" w:cs="Times New Roman"/>
          <w:sz w:val="28"/>
          <w:szCs w:val="28"/>
        </w:rPr>
        <w:t xml:space="preserve">, </w:t>
      </w:r>
      <w:r>
        <w:rPr>
          <w:rFonts w:ascii="Times New Roman" w:hAnsi="Times New Roman" w:eastAsia="Calibri"/>
          <w:sz w:val="28"/>
          <w:szCs w:val="28"/>
        </w:rPr>
        <w:t>Методикою створення та функціонування консультаційних пунктів для надання населенню за місцем проживання інформації з питань цивільного захисту, затвердженою наказом Міністерства внутрішніх справ України від 01.08.2024 року № 540</w:t>
      </w:r>
      <w:r>
        <w:rPr>
          <w:rFonts w:ascii="Times New Roman" w:hAnsi="Times New Roman" w:eastAsia="Calibri" w:cs="Times New Roman"/>
          <w:sz w:val="28"/>
          <w:szCs w:val="28"/>
        </w:rPr>
        <w:t xml:space="preserve"> та іншими нормативними документами, що регламентують підготовку населення до дій у надзвичайних ситуаціях (далі – НС).</w:t>
      </w:r>
    </w:p>
    <w:p w14:paraId="5E4E1B64">
      <w:pPr>
        <w:spacing w:after="0" w:line="240" w:lineRule="auto"/>
        <w:ind w:firstLine="709"/>
        <w:jc w:val="both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ascii="Times New Roman" w:hAnsi="Times New Roman" w:eastAsia="Calibri" w:cs="Times New Roman"/>
          <w:sz w:val="28"/>
          <w:szCs w:val="28"/>
        </w:rPr>
        <w:t>3. Консультаційні пункти для забезпечення діяльності укомплектовуються працівниками, а також оснащуються необхідним обладнанням, відповідним майном і літературою (навчальними посібниками, брошурами, інформаційними листівками, буклетами тощо).</w:t>
      </w:r>
    </w:p>
    <w:p w14:paraId="757DAE75">
      <w:pPr>
        <w:spacing w:after="0" w:line="240" w:lineRule="auto"/>
        <w:jc w:val="both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ascii="Times New Roman" w:hAnsi="Times New Roman" w:eastAsia="Calibri" w:cs="Times New Roman"/>
          <w:sz w:val="28"/>
          <w:szCs w:val="28"/>
        </w:rPr>
        <w:t xml:space="preserve"> </w:t>
      </w:r>
    </w:p>
    <w:p w14:paraId="719AA441">
      <w:pPr>
        <w:spacing w:after="0" w:line="240" w:lineRule="auto"/>
        <w:jc w:val="center"/>
        <w:rPr>
          <w:rFonts w:ascii="Times New Roman" w:hAnsi="Times New Roman" w:eastAsia="Calibri" w:cs="Times New Roman"/>
          <w:b/>
          <w:bCs/>
          <w:sz w:val="28"/>
          <w:szCs w:val="28"/>
        </w:rPr>
      </w:pPr>
      <w:r>
        <w:rPr>
          <w:rFonts w:ascii="Times New Roman" w:hAnsi="Times New Roman" w:eastAsia="Calibri" w:cs="Times New Roman"/>
          <w:b/>
          <w:bCs/>
          <w:sz w:val="28"/>
          <w:szCs w:val="28"/>
        </w:rPr>
        <w:t>ІІ. Завдання консультаційного пункту</w:t>
      </w:r>
    </w:p>
    <w:p w14:paraId="549C453A">
      <w:pPr>
        <w:spacing w:after="0" w:line="240" w:lineRule="auto"/>
        <w:jc w:val="both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ascii="Times New Roman" w:hAnsi="Times New Roman" w:eastAsia="Calibri" w:cs="Times New Roman"/>
          <w:sz w:val="28"/>
          <w:szCs w:val="28"/>
        </w:rPr>
        <w:t xml:space="preserve"> </w:t>
      </w:r>
    </w:p>
    <w:p w14:paraId="0A18A667">
      <w:pPr>
        <w:spacing w:after="0" w:line="240" w:lineRule="auto"/>
        <w:ind w:firstLine="709"/>
        <w:jc w:val="both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ascii="Times New Roman" w:hAnsi="Times New Roman" w:eastAsia="Calibri" w:cs="Times New Roman"/>
          <w:sz w:val="28"/>
          <w:szCs w:val="28"/>
        </w:rPr>
        <w:t>1. Головними завданнями консультаційних пунктів є:</w:t>
      </w:r>
    </w:p>
    <w:p w14:paraId="6EB47935">
      <w:pPr>
        <w:spacing w:after="0" w:line="240" w:lineRule="auto"/>
        <w:ind w:firstLine="709"/>
        <w:jc w:val="both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ascii="Times New Roman" w:hAnsi="Times New Roman" w:eastAsia="Calibri" w:cs="Times New Roman"/>
          <w:sz w:val="28"/>
          <w:szCs w:val="28"/>
        </w:rPr>
        <w:t>участь у підготовці непрацюючого населення за місцем проживання з питань захисту та дій у надзвичайних ситуаціях за тематикою консультацій, рекомендованою Державною службою України з надзвичайних ситуацій;</w:t>
      </w:r>
    </w:p>
    <w:p w14:paraId="1C9AE483">
      <w:pPr>
        <w:spacing w:after="0" w:line="240" w:lineRule="auto"/>
        <w:ind w:firstLine="709"/>
        <w:jc w:val="both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ascii="Times New Roman" w:hAnsi="Times New Roman" w:eastAsia="Calibri" w:cs="Times New Roman"/>
          <w:sz w:val="28"/>
          <w:szCs w:val="28"/>
        </w:rPr>
        <w:t>сприяння розвитку громадської свідомості щодо особистої та колективної безпеки;</w:t>
      </w:r>
    </w:p>
    <w:p w14:paraId="7D3D2B9C">
      <w:pPr>
        <w:spacing w:after="0" w:line="240" w:lineRule="auto"/>
        <w:ind w:firstLine="709"/>
        <w:jc w:val="both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ascii="Times New Roman" w:hAnsi="Times New Roman" w:eastAsia="Calibri" w:cs="Times New Roman"/>
          <w:sz w:val="28"/>
          <w:szCs w:val="28"/>
        </w:rPr>
        <w:t>підвищення рівня морально-психологічного стану громадян в умовах загрози і виникнення НС.</w:t>
      </w:r>
    </w:p>
    <w:p w14:paraId="2EBEFE74">
      <w:pPr>
        <w:spacing w:after="0" w:line="240" w:lineRule="auto"/>
        <w:ind w:firstLine="709"/>
        <w:jc w:val="both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ascii="Times New Roman" w:hAnsi="Times New Roman" w:eastAsia="Calibri" w:cs="Times New Roman"/>
          <w:sz w:val="28"/>
          <w:szCs w:val="28"/>
        </w:rPr>
        <w:t>2. Відповідно до покладених на нього завдань консультаційні пункти забезпечують:</w:t>
      </w:r>
    </w:p>
    <w:p w14:paraId="70346880">
      <w:pPr>
        <w:spacing w:after="0" w:line="240" w:lineRule="auto"/>
        <w:ind w:firstLine="709"/>
        <w:jc w:val="both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ascii="Times New Roman" w:hAnsi="Times New Roman" w:eastAsia="Calibri" w:cs="Times New Roman"/>
          <w:sz w:val="28"/>
          <w:szCs w:val="28"/>
        </w:rPr>
        <w:t>доведення до непрацюючого населення за місцем проживання інформації про небезпеку за місцем проживання та заходи з реагування на НС;</w:t>
      </w:r>
    </w:p>
    <w:p w14:paraId="2599F7D4">
      <w:pPr>
        <w:spacing w:after="0" w:line="240" w:lineRule="auto"/>
        <w:ind w:firstLine="709"/>
        <w:jc w:val="both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ascii="Times New Roman" w:hAnsi="Times New Roman" w:eastAsia="Calibri" w:cs="Times New Roman"/>
          <w:sz w:val="28"/>
          <w:szCs w:val="28"/>
        </w:rPr>
        <w:t>створення умов для самостійного вивчення населенням посібників, пам’яток, іншого друкованого навчально-інформаційного матеріалу, перегляду відеоматеріалів з питань цивільного захисту та безпеки життєдіяльності;</w:t>
      </w:r>
    </w:p>
    <w:p w14:paraId="1EC54746">
      <w:pPr>
        <w:spacing w:after="0" w:line="240" w:lineRule="auto"/>
        <w:ind w:firstLine="709"/>
        <w:jc w:val="both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ascii="Times New Roman" w:hAnsi="Times New Roman" w:eastAsia="Calibri" w:cs="Times New Roman"/>
          <w:sz w:val="28"/>
          <w:szCs w:val="28"/>
        </w:rPr>
        <w:t>надання інформації населенню щодо прав та обов’язків громадян України у сфері цивільного захисту;</w:t>
      </w:r>
    </w:p>
    <w:p w14:paraId="114C184E">
      <w:pPr>
        <w:spacing w:after="0" w:line="240" w:lineRule="auto"/>
        <w:ind w:firstLine="709"/>
        <w:jc w:val="both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ascii="Times New Roman" w:hAnsi="Times New Roman" w:eastAsia="Calibri" w:cs="Times New Roman"/>
          <w:sz w:val="28"/>
          <w:szCs w:val="28"/>
        </w:rPr>
        <w:t>участь в інформаційно-просвітницькій роботі та пропаганді знань серед населення з питань цивільного захисту, а також роз’яснення правил поведінки та дій у надзвичайних ситуаціях, несприятливих побутових умовах або нестандартних ситуаціях (організація та участь у виставках, змаганнях, оглядах-конкурсах, бесідах, вікторинах, виступах на радіо та телебаченні, поширення друкованої, аудіо- та відеопродукції тощо);</w:t>
      </w:r>
    </w:p>
    <w:p w14:paraId="2F4D33F1">
      <w:pPr>
        <w:spacing w:after="0" w:line="240" w:lineRule="auto"/>
        <w:ind w:firstLine="709"/>
        <w:jc w:val="both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ascii="Times New Roman" w:hAnsi="Times New Roman" w:eastAsia="Calibri" w:cs="Times New Roman"/>
          <w:sz w:val="28"/>
          <w:szCs w:val="28"/>
        </w:rPr>
        <w:t>сприяння у роботі місцевих органів влади та громадських організацій із забезпечення високого рівня морально-психологічного стану непрацюючого населення в умовах загрози та при виникненні НС, а також при ліквідації їх наслідків;</w:t>
      </w:r>
    </w:p>
    <w:p w14:paraId="3FCE6297">
      <w:pPr>
        <w:spacing w:after="0" w:line="240" w:lineRule="auto"/>
        <w:ind w:firstLine="709"/>
        <w:jc w:val="both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ascii="Times New Roman" w:hAnsi="Times New Roman" w:eastAsia="Calibri" w:cs="Times New Roman"/>
          <w:sz w:val="28"/>
          <w:szCs w:val="28"/>
        </w:rPr>
        <w:t>доведення до мешканців повідомлень щодо участі населення у заходах цивільного захисту за місцем проживання (інформація: про дії за попереджувальним сигналом "Увага всім!"; при проведенні евакуаційних заходів; щодо місць знаходження захисних споруд тощо);</w:t>
      </w:r>
    </w:p>
    <w:p w14:paraId="6BA923FA">
      <w:pPr>
        <w:spacing w:after="0" w:line="240" w:lineRule="auto"/>
        <w:ind w:firstLine="709"/>
        <w:jc w:val="both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ascii="Times New Roman" w:hAnsi="Times New Roman" w:eastAsia="Calibri" w:cs="Times New Roman"/>
          <w:sz w:val="28"/>
          <w:szCs w:val="28"/>
        </w:rPr>
        <w:t>постійне вивчення та освоєння досвіду щодо форм і методів просвітницько-інформаційної роботи та пропаганди знань;</w:t>
      </w:r>
    </w:p>
    <w:p w14:paraId="52D627F4">
      <w:pPr>
        <w:spacing w:after="0" w:line="240" w:lineRule="auto"/>
        <w:ind w:firstLine="709"/>
        <w:jc w:val="both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ascii="Times New Roman" w:hAnsi="Times New Roman" w:eastAsia="Calibri" w:cs="Times New Roman"/>
          <w:sz w:val="28"/>
          <w:szCs w:val="28"/>
        </w:rPr>
        <w:t>створення та удосконалення необхідної навчальної матеріально-технічної бази.</w:t>
      </w:r>
    </w:p>
    <w:p w14:paraId="7CC79879">
      <w:pPr>
        <w:spacing w:after="0" w:line="240" w:lineRule="auto"/>
        <w:jc w:val="both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ascii="Times New Roman" w:hAnsi="Times New Roman" w:eastAsia="Calibri" w:cs="Times New Roman"/>
          <w:sz w:val="28"/>
          <w:szCs w:val="28"/>
        </w:rPr>
        <w:t xml:space="preserve"> </w:t>
      </w:r>
    </w:p>
    <w:p w14:paraId="10315C30">
      <w:pPr>
        <w:spacing w:after="0" w:line="240" w:lineRule="auto"/>
        <w:jc w:val="center"/>
        <w:rPr>
          <w:rFonts w:ascii="Times New Roman" w:hAnsi="Times New Roman" w:eastAsia="Calibri" w:cs="Times New Roman"/>
          <w:b/>
          <w:bCs/>
          <w:sz w:val="28"/>
          <w:szCs w:val="28"/>
        </w:rPr>
      </w:pPr>
      <w:r>
        <w:rPr>
          <w:rFonts w:ascii="Times New Roman" w:hAnsi="Times New Roman" w:eastAsia="Calibri" w:cs="Times New Roman"/>
          <w:b/>
          <w:bCs/>
          <w:sz w:val="28"/>
          <w:szCs w:val="28"/>
        </w:rPr>
        <w:t>ІІІ. Керівництво роботою консультаційного пункту</w:t>
      </w:r>
    </w:p>
    <w:p w14:paraId="50AA4539">
      <w:pPr>
        <w:spacing w:after="0" w:line="240" w:lineRule="auto"/>
        <w:jc w:val="both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ascii="Times New Roman" w:hAnsi="Times New Roman" w:eastAsia="Calibri" w:cs="Times New Roman"/>
          <w:sz w:val="28"/>
          <w:szCs w:val="28"/>
        </w:rPr>
        <w:t xml:space="preserve"> </w:t>
      </w:r>
    </w:p>
    <w:p w14:paraId="2F2E86DB">
      <w:pPr>
        <w:spacing w:after="0" w:line="240" w:lineRule="auto"/>
        <w:ind w:firstLine="709"/>
        <w:jc w:val="both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ascii="Times New Roman" w:hAnsi="Times New Roman" w:eastAsia="Calibri" w:cs="Times New Roman"/>
          <w:sz w:val="28"/>
          <w:szCs w:val="28"/>
        </w:rPr>
        <w:t>1. Загальне керівництво консультаційними пунктами здійснює заступник сільського голови з питань діяльності виконавчих органів ради Ірина КЛІГУНОВА.</w:t>
      </w:r>
    </w:p>
    <w:p w14:paraId="26F84FA9">
      <w:pPr>
        <w:spacing w:after="0" w:line="240" w:lineRule="auto"/>
        <w:ind w:firstLine="709"/>
        <w:jc w:val="both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ascii="Times New Roman" w:hAnsi="Times New Roman" w:eastAsia="Calibri" w:cs="Times New Roman"/>
          <w:sz w:val="28"/>
          <w:szCs w:val="28"/>
        </w:rPr>
        <w:t>Безпосередня відповідальність за організацію роботи консультаційних пунктів покладається на відповідальних осіб, які працюють під контролем заступника сільського голови з питань діяльності виконавчих органів ради Ірини КЛІГУНОВОЇ.</w:t>
      </w:r>
    </w:p>
    <w:p w14:paraId="1F14C08B">
      <w:pPr>
        <w:spacing w:after="0" w:line="240" w:lineRule="auto"/>
        <w:ind w:firstLine="709"/>
        <w:jc w:val="both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ascii="Times New Roman" w:hAnsi="Times New Roman" w:eastAsia="Calibri" w:cs="Times New Roman"/>
          <w:sz w:val="28"/>
          <w:szCs w:val="28"/>
        </w:rPr>
        <w:t>2. Особи, які відповідальні за роботу консультаційних пунктів, зобов’язані:</w:t>
      </w:r>
    </w:p>
    <w:p w14:paraId="7A2B462C">
      <w:pPr>
        <w:spacing w:after="0" w:line="240" w:lineRule="auto"/>
        <w:ind w:firstLine="709"/>
        <w:jc w:val="both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ascii="Times New Roman" w:hAnsi="Times New Roman" w:eastAsia="Calibri" w:cs="Times New Roman"/>
          <w:sz w:val="28"/>
          <w:szCs w:val="28"/>
        </w:rPr>
        <w:t>розробляти та вести відповідні планувальні та облікові документи;</w:t>
      </w:r>
    </w:p>
    <w:p w14:paraId="692FF03B">
      <w:pPr>
        <w:spacing w:after="0" w:line="240" w:lineRule="auto"/>
        <w:ind w:firstLine="709"/>
        <w:jc w:val="both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ascii="Times New Roman" w:hAnsi="Times New Roman" w:eastAsia="Calibri" w:cs="Times New Roman"/>
          <w:sz w:val="28"/>
          <w:szCs w:val="28"/>
        </w:rPr>
        <w:t>добирати серед жителів населених пунктів та працівників суб’єкта господарювання, при якому створено консультаційний пункт, консультантів на громадських засадах та проводити з ними відповідні інструктивні заняття;</w:t>
      </w:r>
    </w:p>
    <w:p w14:paraId="6F1FF726">
      <w:pPr>
        <w:spacing w:after="0" w:line="240" w:lineRule="auto"/>
        <w:ind w:firstLine="709"/>
        <w:jc w:val="both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ascii="Times New Roman" w:hAnsi="Times New Roman" w:eastAsia="Calibri" w:cs="Times New Roman"/>
          <w:sz w:val="28"/>
          <w:szCs w:val="28"/>
        </w:rPr>
        <w:t>організовувати проведення консультацій з питань захисту та дій в умовах НС;</w:t>
      </w:r>
    </w:p>
    <w:p w14:paraId="38596657">
      <w:pPr>
        <w:spacing w:after="0" w:line="240" w:lineRule="auto"/>
        <w:ind w:firstLine="709"/>
        <w:jc w:val="both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ascii="Times New Roman" w:hAnsi="Times New Roman" w:eastAsia="Calibri" w:cs="Times New Roman"/>
          <w:sz w:val="28"/>
          <w:szCs w:val="28"/>
        </w:rPr>
        <w:t>забезпечувати необхідною літературою, наочністю, зразками навчального майна громадян, які побажали самостійно вивчати питання щодо захисту та правильних дій в умовах НС;</w:t>
      </w:r>
    </w:p>
    <w:p w14:paraId="58B7E30F">
      <w:pPr>
        <w:spacing w:after="0" w:line="240" w:lineRule="auto"/>
        <w:ind w:firstLine="709"/>
        <w:jc w:val="both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ascii="Times New Roman" w:hAnsi="Times New Roman" w:eastAsia="Calibri" w:cs="Times New Roman"/>
          <w:sz w:val="28"/>
          <w:szCs w:val="28"/>
        </w:rPr>
        <w:t>вести облік заходів, проведених з непрацюючим населенням;</w:t>
      </w:r>
    </w:p>
    <w:p w14:paraId="218E8CEB">
      <w:pPr>
        <w:spacing w:after="0" w:line="240" w:lineRule="auto"/>
        <w:ind w:firstLine="709"/>
        <w:jc w:val="both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ascii="Times New Roman" w:hAnsi="Times New Roman" w:eastAsia="Calibri" w:cs="Times New Roman"/>
          <w:sz w:val="28"/>
          <w:szCs w:val="28"/>
        </w:rPr>
        <w:t>складати заявки на придбання навчального приладдя, технічних засобів навчання, літератури, вести їх облік, зберігання та своєчасне списання;</w:t>
      </w:r>
    </w:p>
    <w:p w14:paraId="74C0DE5F">
      <w:pPr>
        <w:spacing w:after="0" w:line="240" w:lineRule="auto"/>
        <w:ind w:firstLine="709"/>
        <w:jc w:val="both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ascii="Times New Roman" w:hAnsi="Times New Roman" w:eastAsia="Calibri" w:cs="Times New Roman"/>
          <w:sz w:val="28"/>
          <w:szCs w:val="28"/>
        </w:rPr>
        <w:t>стежити за станом приміщень, які використовуються для забезпечення консультаційної роботи, та порядком у них;</w:t>
      </w:r>
    </w:p>
    <w:p w14:paraId="261FDBE6">
      <w:pPr>
        <w:spacing w:after="0" w:line="240" w:lineRule="auto"/>
        <w:ind w:firstLine="709"/>
        <w:jc w:val="both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ascii="Times New Roman" w:hAnsi="Times New Roman" w:eastAsia="Calibri" w:cs="Times New Roman"/>
          <w:sz w:val="28"/>
          <w:szCs w:val="28"/>
        </w:rPr>
        <w:t>брати участь у просвітницько-інформаційних заходах з питань захисту та дій в умовах надзвичайних ситуацій;</w:t>
      </w:r>
    </w:p>
    <w:p w14:paraId="2F43C3EC">
      <w:pPr>
        <w:spacing w:after="0" w:line="240" w:lineRule="auto"/>
        <w:ind w:firstLine="709"/>
        <w:jc w:val="both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ascii="Times New Roman" w:hAnsi="Times New Roman" w:eastAsia="Calibri" w:cs="Times New Roman"/>
          <w:sz w:val="28"/>
          <w:szCs w:val="28"/>
        </w:rPr>
        <w:t>забезпечувати взаємодію з органами управління з питань надзвичайних ситуацій щодо проведення навчання з питань цивільного захисту.</w:t>
      </w:r>
    </w:p>
    <w:p w14:paraId="55C00582">
      <w:pPr>
        <w:spacing w:after="0" w:line="240" w:lineRule="auto"/>
        <w:ind w:firstLine="709"/>
        <w:jc w:val="both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ascii="Times New Roman" w:hAnsi="Times New Roman" w:eastAsia="Calibri" w:cs="Times New Roman"/>
          <w:sz w:val="28"/>
          <w:szCs w:val="28"/>
        </w:rPr>
        <w:t>3. Особи, відповідальні за роботу консультаційних пунктів, у строк, встановлений законодавством у сфері цивільного захисту, проходять підготовку у структурних підрозділах Навчально-методичного центру цивільного захисту та безпеки життєдіяльності Сумської області.</w:t>
      </w:r>
    </w:p>
    <w:p w14:paraId="42A01EB9">
      <w:pPr>
        <w:spacing w:after="0" w:line="240" w:lineRule="auto"/>
        <w:jc w:val="both"/>
        <w:rPr>
          <w:rFonts w:ascii="Times New Roman" w:hAnsi="Times New Roman" w:eastAsia="Calibri" w:cs="Times New Roman"/>
          <w:sz w:val="28"/>
          <w:szCs w:val="28"/>
        </w:rPr>
      </w:pPr>
    </w:p>
    <w:p w14:paraId="13C77886">
      <w:pPr>
        <w:spacing w:after="0" w:line="240" w:lineRule="auto"/>
        <w:jc w:val="center"/>
        <w:rPr>
          <w:rFonts w:ascii="Times New Roman" w:hAnsi="Times New Roman" w:eastAsia="Calibri" w:cs="Times New Roman"/>
          <w:b/>
          <w:bCs/>
          <w:sz w:val="28"/>
          <w:szCs w:val="28"/>
        </w:rPr>
      </w:pPr>
      <w:r>
        <w:rPr>
          <w:rFonts w:ascii="Times New Roman" w:hAnsi="Times New Roman" w:eastAsia="Calibri" w:cs="Times New Roman"/>
          <w:b/>
          <w:bCs/>
          <w:sz w:val="28"/>
          <w:szCs w:val="28"/>
        </w:rPr>
        <w:t>ІV. Організація роботи консультаційного пункту</w:t>
      </w:r>
    </w:p>
    <w:p w14:paraId="666773EF">
      <w:pPr>
        <w:spacing w:after="0" w:line="240" w:lineRule="auto"/>
        <w:jc w:val="both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ascii="Times New Roman" w:hAnsi="Times New Roman" w:eastAsia="Calibri" w:cs="Times New Roman"/>
          <w:sz w:val="28"/>
          <w:szCs w:val="28"/>
        </w:rPr>
        <w:t xml:space="preserve"> </w:t>
      </w:r>
    </w:p>
    <w:p w14:paraId="29D78E10">
      <w:pPr>
        <w:spacing w:after="0" w:line="240" w:lineRule="auto"/>
        <w:ind w:firstLine="709"/>
        <w:jc w:val="both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ascii="Times New Roman" w:hAnsi="Times New Roman" w:eastAsia="Calibri" w:cs="Times New Roman"/>
          <w:sz w:val="28"/>
          <w:szCs w:val="28"/>
        </w:rPr>
        <w:t>1. Робота консультаційних пунктів здійснюється згідно із річним планом роботи консультаційних пунктів, який розробляється з урахуванням організаційно-методичних вказівок з навчання населення діям у надзвичайних ситуаціях.</w:t>
      </w:r>
    </w:p>
    <w:p w14:paraId="4D71C76A">
      <w:pPr>
        <w:spacing w:after="0" w:line="240" w:lineRule="auto"/>
        <w:ind w:firstLine="709"/>
        <w:jc w:val="both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ascii="Times New Roman" w:hAnsi="Times New Roman" w:eastAsia="Calibri" w:cs="Times New Roman"/>
          <w:sz w:val="28"/>
          <w:szCs w:val="28"/>
        </w:rPr>
        <w:t>У річному плані визначаються основні заходи консультаційної та просвітницько-інформаційної роботи з пропаганди серед населення знань з питань захисту та дій у надзвичайних ситуаціях, а також заходи щодо удосконалення навчальної та матеріальної бази консультаційного пункту.</w:t>
      </w:r>
    </w:p>
    <w:p w14:paraId="20FC11EA">
      <w:pPr>
        <w:spacing w:after="0" w:line="240" w:lineRule="auto"/>
        <w:ind w:firstLine="709"/>
        <w:jc w:val="both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ascii="Times New Roman" w:hAnsi="Times New Roman" w:eastAsia="Calibri" w:cs="Times New Roman"/>
          <w:sz w:val="28"/>
          <w:szCs w:val="28"/>
        </w:rPr>
        <w:t>Річний план роботи консультаційного пункту розробляється та підписується особою, відповідальною за його роботу, і затверджується сільським головою.</w:t>
      </w:r>
    </w:p>
    <w:p w14:paraId="014800C6">
      <w:pPr>
        <w:spacing w:after="0" w:line="240" w:lineRule="auto"/>
        <w:ind w:firstLine="709"/>
        <w:jc w:val="both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ascii="Times New Roman" w:hAnsi="Times New Roman" w:eastAsia="Calibri" w:cs="Times New Roman"/>
          <w:sz w:val="28"/>
          <w:szCs w:val="28"/>
        </w:rPr>
        <w:t>2. Навчання непрацюючого населення за місцем проживання здійснюється шляхом:</w:t>
      </w:r>
    </w:p>
    <w:p w14:paraId="42525956">
      <w:pPr>
        <w:spacing w:after="0" w:line="240" w:lineRule="auto"/>
        <w:ind w:firstLine="709"/>
        <w:jc w:val="both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ascii="Times New Roman" w:hAnsi="Times New Roman" w:eastAsia="Calibri" w:cs="Times New Roman"/>
          <w:sz w:val="28"/>
          <w:szCs w:val="28"/>
        </w:rPr>
        <w:t>проведення консультацій з питань захисту та дій в умовах можливих надзвичайних ситуацій за рекомендаціями Організаційно-методичних вказівок з навчання населення діям у надзвичайних ситуаціях;</w:t>
      </w:r>
    </w:p>
    <w:p w14:paraId="6C3A14ED">
      <w:pPr>
        <w:spacing w:after="0" w:line="240" w:lineRule="auto"/>
        <w:ind w:firstLine="709"/>
        <w:jc w:val="both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ascii="Times New Roman" w:hAnsi="Times New Roman" w:eastAsia="Calibri" w:cs="Times New Roman"/>
          <w:sz w:val="28"/>
          <w:szCs w:val="28"/>
        </w:rPr>
        <w:t>проведення інформаційних та агітаційних заходів (бесід, лекцій, вечорів питань і відповідей, показів відеоматеріалів тощо);</w:t>
      </w:r>
    </w:p>
    <w:p w14:paraId="5EF68BFA">
      <w:pPr>
        <w:spacing w:after="0" w:line="240" w:lineRule="auto"/>
        <w:ind w:firstLine="709"/>
        <w:jc w:val="both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ascii="Times New Roman" w:hAnsi="Times New Roman" w:eastAsia="Calibri" w:cs="Times New Roman"/>
          <w:sz w:val="28"/>
          <w:szCs w:val="28"/>
        </w:rPr>
        <w:t>розповсюдження та читання друкованих видань - пам’яток, листівок, буклетів, посібників з тематики цивільного захисту та безпеки життєдіяльності;</w:t>
      </w:r>
    </w:p>
    <w:p w14:paraId="2BB20E63">
      <w:pPr>
        <w:spacing w:after="0" w:line="240" w:lineRule="auto"/>
        <w:ind w:firstLine="709"/>
        <w:jc w:val="both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ascii="Times New Roman" w:hAnsi="Times New Roman" w:eastAsia="Calibri" w:cs="Times New Roman"/>
          <w:sz w:val="28"/>
          <w:szCs w:val="28"/>
        </w:rPr>
        <w:t>забезпечення умов для самостійного вивчення населенням правил поведінки та дій в умовах надзвичайних ситуацій.</w:t>
      </w:r>
    </w:p>
    <w:p w14:paraId="7DEB7097">
      <w:pPr>
        <w:spacing w:after="0" w:line="240" w:lineRule="auto"/>
        <w:ind w:firstLine="709"/>
        <w:jc w:val="both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ascii="Times New Roman" w:hAnsi="Times New Roman" w:eastAsia="Calibri" w:cs="Times New Roman"/>
          <w:sz w:val="28"/>
          <w:szCs w:val="28"/>
        </w:rPr>
        <w:t>3. Консультаційні пункти можуть використовуватися для доведення до населення повідомлень щодо участі у заходах цивільного захисту за місцем проживання (дій за попереджувальними сигналами, повідомленнями при проведенні евакуаційних заходів, укриття у захисних спорудах тощо).</w:t>
      </w:r>
    </w:p>
    <w:p w14:paraId="00E5D5C8">
      <w:pPr>
        <w:spacing w:after="0" w:line="240" w:lineRule="auto"/>
        <w:ind w:firstLine="709"/>
        <w:jc w:val="both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ascii="Times New Roman" w:hAnsi="Times New Roman" w:eastAsia="Calibri" w:cs="Times New Roman"/>
          <w:sz w:val="28"/>
          <w:szCs w:val="28"/>
        </w:rPr>
        <w:t>4. При проведенні консультацій надається інформація про потенційну небезпеку, яка характерна для відповідної території, та способи реагування на неї.</w:t>
      </w:r>
    </w:p>
    <w:p w14:paraId="0C47148E">
      <w:pPr>
        <w:spacing w:after="0" w:line="240" w:lineRule="auto"/>
        <w:ind w:firstLine="709"/>
        <w:jc w:val="both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ascii="Times New Roman" w:hAnsi="Times New Roman" w:eastAsia="Calibri" w:cs="Times New Roman"/>
          <w:sz w:val="28"/>
          <w:szCs w:val="28"/>
        </w:rPr>
        <w:t>Керівники потенційно небезпечних об’єктів надають через консультаційні пункти постійну та оперативну інформацію населенню, яке проживає в зонах можливого ураження, про стан їх захисту, методи й способи забезпечення захисту при аваріях.</w:t>
      </w:r>
    </w:p>
    <w:p w14:paraId="1DEC3639">
      <w:pPr>
        <w:spacing w:after="0" w:line="240" w:lineRule="auto"/>
        <w:ind w:firstLine="709"/>
        <w:jc w:val="both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ascii="Times New Roman" w:hAnsi="Times New Roman" w:eastAsia="Calibri" w:cs="Times New Roman"/>
          <w:sz w:val="28"/>
          <w:szCs w:val="28"/>
        </w:rPr>
        <w:t>5. До проведення консультацій залучаються працівники (інструктори) консультаційного пункту, спеціалісти сільської ради, консультанти з числа активістів цивільного захисту, які пройшли підготовку у структурних підрозділах Навчально-методичного центру цивільного захисту та безпеки життєдіяльності Сумської області.</w:t>
      </w:r>
    </w:p>
    <w:p w14:paraId="09E8F540">
      <w:pPr>
        <w:spacing w:after="0" w:line="240" w:lineRule="auto"/>
        <w:ind w:firstLine="709"/>
        <w:jc w:val="both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ascii="Times New Roman" w:hAnsi="Times New Roman" w:eastAsia="Calibri" w:cs="Times New Roman"/>
          <w:sz w:val="28"/>
          <w:szCs w:val="28"/>
        </w:rPr>
        <w:t>З медичних тем та питань психологічної підготовки до проведення занять залучаються відповідні фахівці.</w:t>
      </w:r>
    </w:p>
    <w:p w14:paraId="49154D7C">
      <w:pPr>
        <w:spacing w:after="0" w:line="240" w:lineRule="auto"/>
        <w:ind w:firstLine="709"/>
        <w:jc w:val="both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ascii="Times New Roman" w:hAnsi="Times New Roman" w:eastAsia="Calibri" w:cs="Times New Roman"/>
          <w:sz w:val="28"/>
          <w:szCs w:val="28"/>
        </w:rPr>
        <w:t>6. Робота персоналу консультаційних пунктів організовується таким чином, щоб кожен його відвідувач міг отримати вичерпну інформацію (роз’яснення) щодо питань гарантованого забезпечення захисту та порядку дій в умовах надзвичайних ситуацій.</w:t>
      </w:r>
    </w:p>
    <w:p w14:paraId="514A7D34">
      <w:pPr>
        <w:spacing w:after="0" w:line="240" w:lineRule="auto"/>
        <w:ind w:firstLine="709"/>
        <w:jc w:val="both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ascii="Times New Roman" w:hAnsi="Times New Roman" w:eastAsia="Calibri" w:cs="Times New Roman"/>
          <w:sz w:val="28"/>
          <w:szCs w:val="28"/>
        </w:rPr>
        <w:t>7. Просвітницька робота та пропаганда знань серед населення з питань захисту та дій у надзвичайних ситуаціях спрямовуються на підготовку громадян щодо: особливостей поведінки в різні пори року; при виникненні епідемій, епізоотій, отруєнь; поведінки на воді; дотримання правил пожежної безпеки і санітарно-гігієнічних норм тощо.</w:t>
      </w:r>
    </w:p>
    <w:p w14:paraId="31B20C4F">
      <w:pPr>
        <w:spacing w:after="0" w:line="240" w:lineRule="auto"/>
        <w:ind w:firstLine="709"/>
        <w:jc w:val="both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ascii="Times New Roman" w:hAnsi="Times New Roman" w:eastAsia="Calibri" w:cs="Times New Roman"/>
          <w:sz w:val="28"/>
          <w:szCs w:val="28"/>
        </w:rPr>
        <w:t>8. Основна увага при навчанні населення звертається на морально-психологічну підготовку, виховання у громадян почуття високої відповідальності за свою підготовку та підготовку своєї родини до захисту у надзвичайних ситуаціях.</w:t>
      </w:r>
    </w:p>
    <w:p w14:paraId="168EF311">
      <w:pPr>
        <w:spacing w:after="0" w:line="240" w:lineRule="auto"/>
        <w:ind w:firstLine="709"/>
        <w:jc w:val="both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ascii="Times New Roman" w:hAnsi="Times New Roman" w:eastAsia="Calibri" w:cs="Times New Roman"/>
          <w:sz w:val="28"/>
          <w:szCs w:val="28"/>
        </w:rPr>
        <w:t>9. Основними документами, які повинні бути на консультаційних пунктах, є:</w:t>
      </w:r>
    </w:p>
    <w:p w14:paraId="3FD8A466">
      <w:pPr>
        <w:spacing w:after="0" w:line="240" w:lineRule="auto"/>
        <w:ind w:firstLine="567"/>
        <w:jc w:val="both"/>
        <w:textAlignment w:val="baseline"/>
        <w:rPr>
          <w:rFonts w:ascii="Times New Roman" w:hAnsi="Times New Roman" w:eastAsia="Calibri"/>
          <w:sz w:val="28"/>
          <w:szCs w:val="28"/>
        </w:rPr>
      </w:pPr>
      <w:r>
        <w:rPr>
          <w:rFonts w:ascii="Times New Roman" w:hAnsi="Times New Roman" w:eastAsia="Calibri" w:cs="Times New Roman"/>
          <w:sz w:val="28"/>
          <w:szCs w:val="28"/>
        </w:rPr>
        <w:t xml:space="preserve">рішення виконавчого комітету </w:t>
      </w:r>
      <w:bookmarkStart w:id="2" w:name="_Hlk196991415"/>
      <w:r>
        <w:rPr>
          <w:rFonts w:ascii="Times New Roman" w:hAnsi="Times New Roman" w:eastAsia="Calibri" w:cs="Times New Roman"/>
          <w:sz w:val="28"/>
          <w:szCs w:val="28"/>
        </w:rPr>
        <w:t xml:space="preserve">про створення </w:t>
      </w:r>
      <w:r>
        <w:rPr>
          <w:rFonts w:ascii="Times New Roman" w:hAnsi="Times New Roman" w:eastAsia="Calibri"/>
          <w:sz w:val="28"/>
          <w:szCs w:val="28"/>
        </w:rPr>
        <w:t>та функціонування консультаційних пунктів для надання населенню за місцем проживання інформації з питань цивільного захисту на території Попівської сільської ради Конотопського району Сумської області</w:t>
      </w:r>
      <w:bookmarkEnd w:id="2"/>
      <w:r>
        <w:rPr>
          <w:rFonts w:ascii="Times New Roman" w:hAnsi="Times New Roman" w:eastAsia="Calibri" w:cs="Times New Roman"/>
          <w:sz w:val="28"/>
          <w:szCs w:val="28"/>
        </w:rPr>
        <w:t>;</w:t>
      </w:r>
    </w:p>
    <w:p w14:paraId="7527C55A">
      <w:pPr>
        <w:spacing w:after="0" w:line="240" w:lineRule="auto"/>
        <w:ind w:firstLine="709"/>
        <w:jc w:val="both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ascii="Times New Roman" w:hAnsi="Times New Roman" w:eastAsia="Calibri" w:cs="Times New Roman"/>
          <w:sz w:val="28"/>
          <w:szCs w:val="28"/>
        </w:rPr>
        <w:t>положення про консультаційні пункти;</w:t>
      </w:r>
    </w:p>
    <w:p w14:paraId="11CB07E8">
      <w:pPr>
        <w:spacing w:after="0" w:line="240" w:lineRule="auto"/>
        <w:ind w:firstLine="709"/>
        <w:jc w:val="both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ascii="Times New Roman" w:hAnsi="Times New Roman" w:eastAsia="Calibri" w:cs="Times New Roman"/>
          <w:sz w:val="28"/>
          <w:szCs w:val="28"/>
        </w:rPr>
        <w:t>посадові інструкції (функціональні обов’язки) працівників пунктів;</w:t>
      </w:r>
    </w:p>
    <w:p w14:paraId="34FB0CA6">
      <w:pPr>
        <w:spacing w:after="0" w:line="240" w:lineRule="auto"/>
        <w:ind w:firstLine="709"/>
        <w:jc w:val="both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ascii="Times New Roman" w:hAnsi="Times New Roman" w:eastAsia="Calibri" w:cs="Times New Roman"/>
          <w:sz w:val="28"/>
          <w:szCs w:val="28"/>
        </w:rPr>
        <w:t>план роботи консультаційних пунктів на рік;</w:t>
      </w:r>
    </w:p>
    <w:p w14:paraId="1E210D14">
      <w:pPr>
        <w:spacing w:after="0" w:line="240" w:lineRule="auto"/>
        <w:ind w:firstLine="709"/>
        <w:jc w:val="both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ascii="Times New Roman" w:hAnsi="Times New Roman" w:eastAsia="Calibri" w:cs="Times New Roman"/>
          <w:sz w:val="28"/>
          <w:szCs w:val="28"/>
        </w:rPr>
        <w:t>список працівників пункту, їх адреси та контактні телефони;</w:t>
      </w:r>
    </w:p>
    <w:p w14:paraId="74FF8AC2">
      <w:pPr>
        <w:spacing w:after="0" w:line="240" w:lineRule="auto"/>
        <w:ind w:firstLine="709"/>
        <w:jc w:val="both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ascii="Times New Roman" w:hAnsi="Times New Roman" w:eastAsia="Calibri" w:cs="Times New Roman"/>
          <w:sz w:val="28"/>
          <w:szCs w:val="28"/>
        </w:rPr>
        <w:t>графік надання консультацій з питань цивільного захисту та безпеки життєдіяльності працівниками консультаційних пунктів;</w:t>
      </w:r>
    </w:p>
    <w:p w14:paraId="0A7B3428">
      <w:pPr>
        <w:spacing w:after="0" w:line="240" w:lineRule="auto"/>
        <w:ind w:firstLine="709"/>
        <w:jc w:val="both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ascii="Times New Roman" w:hAnsi="Times New Roman" w:eastAsia="Calibri" w:cs="Times New Roman"/>
          <w:sz w:val="28"/>
          <w:szCs w:val="28"/>
        </w:rPr>
        <w:t>розпорядок роботи консультаційних пунктів;</w:t>
      </w:r>
    </w:p>
    <w:p w14:paraId="338CA9CA">
      <w:pPr>
        <w:spacing w:after="0" w:line="240" w:lineRule="auto"/>
        <w:ind w:firstLine="709"/>
        <w:jc w:val="both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ascii="Times New Roman" w:hAnsi="Times New Roman" w:eastAsia="Calibri" w:cs="Times New Roman"/>
          <w:sz w:val="28"/>
          <w:szCs w:val="28"/>
        </w:rPr>
        <w:t>журнал обліку консультацій.</w:t>
      </w:r>
    </w:p>
    <w:p w14:paraId="4F766F2B">
      <w:pPr>
        <w:spacing w:after="0" w:line="240" w:lineRule="auto"/>
        <w:ind w:firstLine="709"/>
        <w:jc w:val="both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ascii="Times New Roman" w:hAnsi="Times New Roman" w:eastAsia="Calibri" w:cs="Times New Roman"/>
          <w:sz w:val="28"/>
          <w:szCs w:val="28"/>
        </w:rPr>
        <w:t xml:space="preserve">10. Консультаційно-методичну допомогу з організації роботи консультаційних пунктів здійснюють педагогічні працівники структурних підрозділів Навчально-методичного центру цивільного захисту та безпеки життєдіяльності Сумської області. </w:t>
      </w:r>
    </w:p>
    <w:p w14:paraId="0D93ADC0">
      <w:pPr>
        <w:spacing w:after="0" w:line="240" w:lineRule="auto"/>
        <w:ind w:firstLine="709"/>
        <w:jc w:val="both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ascii="Times New Roman" w:hAnsi="Times New Roman" w:eastAsia="Calibri" w:cs="Times New Roman"/>
          <w:sz w:val="28"/>
          <w:szCs w:val="28"/>
        </w:rPr>
        <w:t>12. На навчально-матеріальній базі консультаційних пунктів можуть організовуватись та проводитись заняття з функціонального навчання (за виїзною формою) педагогічними працівниками Навчально-методичного центру цивільного захисту та безпеки життєдіяльності Сумської області.</w:t>
      </w:r>
    </w:p>
    <w:p w14:paraId="757D4C27">
      <w:pPr>
        <w:spacing w:after="0" w:line="240" w:lineRule="auto"/>
        <w:jc w:val="both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ascii="Times New Roman" w:hAnsi="Times New Roman" w:eastAsia="Calibri" w:cs="Times New Roman"/>
          <w:sz w:val="28"/>
          <w:szCs w:val="28"/>
        </w:rPr>
        <w:t xml:space="preserve"> </w:t>
      </w:r>
    </w:p>
    <w:p w14:paraId="518A555D">
      <w:pPr>
        <w:spacing w:after="0" w:line="240" w:lineRule="auto"/>
        <w:jc w:val="both"/>
        <w:rPr>
          <w:rFonts w:ascii="Times New Roman" w:hAnsi="Times New Roman" w:eastAsia="Calibri" w:cs="Times New Roman"/>
          <w:sz w:val="28"/>
          <w:szCs w:val="28"/>
        </w:rPr>
      </w:pPr>
    </w:p>
    <w:p w14:paraId="01F36CB2">
      <w:pPr>
        <w:spacing w:after="0" w:line="240" w:lineRule="auto"/>
        <w:jc w:val="both"/>
        <w:rPr>
          <w:rFonts w:ascii="Times New Roman" w:hAnsi="Times New Roman" w:eastAsia="Calibri" w:cs="Times New Roman"/>
          <w:sz w:val="28"/>
          <w:szCs w:val="28"/>
        </w:rPr>
      </w:pPr>
    </w:p>
    <w:p w14:paraId="62DF7737">
      <w:pPr>
        <w:spacing w:after="0" w:line="240" w:lineRule="auto"/>
        <w:jc w:val="center"/>
        <w:rPr>
          <w:rFonts w:ascii="Times New Roman" w:hAnsi="Times New Roman" w:eastAsia="Calibri" w:cs="Times New Roman"/>
          <w:b/>
          <w:bCs/>
          <w:sz w:val="28"/>
          <w:szCs w:val="28"/>
        </w:rPr>
      </w:pPr>
      <w:r>
        <w:rPr>
          <w:rFonts w:ascii="Times New Roman" w:hAnsi="Times New Roman" w:eastAsia="Calibri" w:cs="Times New Roman"/>
          <w:b/>
          <w:bCs/>
          <w:sz w:val="28"/>
          <w:szCs w:val="28"/>
        </w:rPr>
        <w:t>V. Матеріально-технічне забезпечення роботи консультаційного пункту</w:t>
      </w:r>
    </w:p>
    <w:p w14:paraId="31ED6D58">
      <w:pPr>
        <w:spacing w:after="0" w:line="240" w:lineRule="auto"/>
        <w:jc w:val="both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ascii="Times New Roman" w:hAnsi="Times New Roman" w:eastAsia="Calibri" w:cs="Times New Roman"/>
          <w:sz w:val="28"/>
          <w:szCs w:val="28"/>
        </w:rPr>
        <w:t xml:space="preserve"> </w:t>
      </w:r>
    </w:p>
    <w:p w14:paraId="7C88A62D">
      <w:pPr>
        <w:spacing w:after="0" w:line="240" w:lineRule="auto"/>
        <w:ind w:firstLine="709"/>
        <w:jc w:val="both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ascii="Times New Roman" w:hAnsi="Times New Roman" w:eastAsia="Calibri" w:cs="Times New Roman"/>
          <w:sz w:val="28"/>
          <w:szCs w:val="28"/>
        </w:rPr>
        <w:t>Консультаційні пункти забезпечуються:</w:t>
      </w:r>
    </w:p>
    <w:p w14:paraId="215C0B0E">
      <w:pPr>
        <w:spacing w:after="0" w:line="240" w:lineRule="auto"/>
        <w:ind w:firstLine="709"/>
        <w:jc w:val="both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ascii="Times New Roman" w:hAnsi="Times New Roman" w:eastAsia="Calibri" w:cs="Times New Roman"/>
          <w:sz w:val="28"/>
          <w:szCs w:val="28"/>
        </w:rPr>
        <w:t>бібліотечкою нормативних документів у сфері цивільного захисту: Кодексом цивільного захисту України, Законами України, постановами Кабінету Міністрів України, наказами Державної служби України з надзвичайних ситуацій та Міністерства внутрішніх справ України;</w:t>
      </w:r>
    </w:p>
    <w:p w14:paraId="6320D18E">
      <w:pPr>
        <w:spacing w:after="0" w:line="240" w:lineRule="auto"/>
        <w:ind w:firstLine="709"/>
        <w:jc w:val="both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ascii="Times New Roman" w:hAnsi="Times New Roman" w:eastAsia="Calibri" w:cs="Times New Roman"/>
          <w:sz w:val="28"/>
          <w:szCs w:val="28"/>
        </w:rPr>
        <w:t>технічними засобами навчання;</w:t>
      </w:r>
    </w:p>
    <w:p w14:paraId="7D141AA3">
      <w:pPr>
        <w:spacing w:after="0" w:line="240" w:lineRule="auto"/>
        <w:ind w:firstLine="709"/>
        <w:jc w:val="both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ascii="Times New Roman" w:hAnsi="Times New Roman" w:eastAsia="Calibri" w:cs="Times New Roman"/>
          <w:sz w:val="28"/>
          <w:szCs w:val="28"/>
        </w:rPr>
        <w:t>зразками навчального майна;</w:t>
      </w:r>
    </w:p>
    <w:p w14:paraId="074EC831">
      <w:pPr>
        <w:spacing w:after="0" w:line="240" w:lineRule="auto"/>
        <w:ind w:firstLine="709"/>
        <w:jc w:val="both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ascii="Times New Roman" w:hAnsi="Times New Roman" w:eastAsia="Calibri" w:cs="Times New Roman"/>
          <w:sz w:val="28"/>
          <w:szCs w:val="28"/>
        </w:rPr>
        <w:t>навчальною літературою: посібниками, рекомендаціями, пам’ятками, періодичними виданнями тощо;</w:t>
      </w:r>
    </w:p>
    <w:p w14:paraId="7462C5B5">
      <w:pPr>
        <w:spacing w:after="0" w:line="240" w:lineRule="auto"/>
        <w:ind w:firstLine="709"/>
        <w:jc w:val="both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ascii="Times New Roman" w:hAnsi="Times New Roman" w:eastAsia="Calibri" w:cs="Times New Roman"/>
          <w:sz w:val="28"/>
          <w:szCs w:val="28"/>
        </w:rPr>
        <w:t>стендами та інформаційно-довідковими куточками з тематики цивільного захисту та безпеки життєдіяльності.</w:t>
      </w:r>
    </w:p>
    <w:p w14:paraId="2750E895">
      <w:pPr>
        <w:spacing w:after="0" w:line="240" w:lineRule="auto"/>
        <w:rPr>
          <w:rFonts w:ascii="Times New Roman" w:hAnsi="Times New Roman" w:eastAsia="Calibri" w:cs="Times New Roman"/>
          <w:b/>
          <w:sz w:val="28"/>
          <w:szCs w:val="28"/>
        </w:rPr>
      </w:pPr>
    </w:p>
    <w:p w14:paraId="4B00269A">
      <w:pPr>
        <w:spacing w:after="0" w:line="240" w:lineRule="auto"/>
        <w:rPr>
          <w:rFonts w:ascii="Times New Roman" w:hAnsi="Times New Roman" w:eastAsia="Calibri" w:cs="Times New Roman"/>
          <w:b/>
          <w:sz w:val="28"/>
          <w:szCs w:val="28"/>
        </w:rPr>
      </w:pPr>
    </w:p>
    <w:p w14:paraId="257F3092">
      <w:pPr>
        <w:spacing w:after="0" w:line="240" w:lineRule="auto"/>
        <w:rPr>
          <w:rFonts w:ascii="Times New Roman" w:hAnsi="Times New Roman" w:eastAsia="Calibri" w:cs="Times New Roman"/>
          <w:b/>
          <w:sz w:val="28"/>
          <w:szCs w:val="28"/>
        </w:rPr>
      </w:pPr>
    </w:p>
    <w:p w14:paraId="50F7F096">
      <w:pPr>
        <w:spacing w:after="0" w:line="240" w:lineRule="auto"/>
        <w:jc w:val="both"/>
        <w:textAlignment w:val="baseline"/>
        <w:rPr>
          <w:rFonts w:ascii="Times New Roman" w:hAnsi="Times New Roman"/>
          <w:bCs/>
          <w:sz w:val="28"/>
          <w:szCs w:val="28"/>
          <w:lang w:eastAsia="uk-UA"/>
        </w:rPr>
      </w:pPr>
      <w:r>
        <w:rPr>
          <w:rFonts w:ascii="Times New Roman" w:hAnsi="Times New Roman"/>
          <w:b/>
          <w:bCs/>
          <w:sz w:val="28"/>
          <w:szCs w:val="28"/>
          <w:lang w:eastAsia="uk-UA"/>
        </w:rPr>
        <w:t>Сільський голова</w:t>
      </w:r>
      <w:r>
        <w:rPr>
          <w:rFonts w:ascii="Times New Roman" w:hAnsi="Times New Roman"/>
          <w:bCs/>
          <w:sz w:val="28"/>
          <w:szCs w:val="28"/>
          <w:lang w:eastAsia="uk-UA"/>
        </w:rPr>
        <w:tab/>
      </w:r>
      <w:r>
        <w:rPr>
          <w:rFonts w:ascii="Times New Roman" w:hAnsi="Times New Roman"/>
          <w:bCs/>
          <w:sz w:val="28"/>
          <w:szCs w:val="28"/>
          <w:lang w:eastAsia="uk-UA"/>
        </w:rPr>
        <w:t xml:space="preserve">                                                   </w:t>
      </w:r>
      <w:r>
        <w:rPr>
          <w:rFonts w:ascii="Times New Roman" w:hAnsi="Times New Roman"/>
          <w:b/>
          <w:bCs/>
          <w:sz w:val="28"/>
          <w:szCs w:val="28"/>
          <w:lang w:eastAsia="uk-UA"/>
        </w:rPr>
        <w:t>Анатолій БОЯРЧУК</w:t>
      </w:r>
    </w:p>
    <w:bookmarkEnd w:id="0"/>
    <w:p w14:paraId="1BE53382">
      <w:pPr>
        <w:spacing w:after="0" w:line="240" w:lineRule="auto"/>
        <w:jc w:val="center"/>
        <w:rPr>
          <w:rFonts w:ascii="Times New Roman" w:hAnsi="Times New Roman" w:eastAsia="Calibri" w:cs="Times New Roman"/>
          <w:b/>
          <w:sz w:val="28"/>
          <w:szCs w:val="28"/>
        </w:rPr>
      </w:pPr>
    </w:p>
    <w:p w14:paraId="611E3C9E">
      <w:pPr>
        <w:spacing w:after="0" w:line="240" w:lineRule="auto"/>
        <w:jc w:val="center"/>
        <w:rPr>
          <w:rFonts w:ascii="Times New Roman" w:hAnsi="Times New Roman" w:eastAsia="Calibri" w:cs="Times New Roman"/>
          <w:b/>
          <w:sz w:val="28"/>
          <w:szCs w:val="28"/>
        </w:rPr>
      </w:pPr>
    </w:p>
    <w:p w14:paraId="3FAC8070">
      <w:pPr>
        <w:spacing w:after="0" w:line="240" w:lineRule="auto"/>
        <w:jc w:val="center"/>
        <w:rPr>
          <w:rFonts w:ascii="Times New Roman" w:hAnsi="Times New Roman" w:eastAsia="Calibri" w:cs="Times New Roman"/>
          <w:b/>
          <w:sz w:val="28"/>
          <w:szCs w:val="28"/>
        </w:rPr>
      </w:pPr>
    </w:p>
    <w:p w14:paraId="32DBD27C">
      <w:pPr>
        <w:spacing w:after="0" w:line="240" w:lineRule="auto"/>
        <w:jc w:val="center"/>
        <w:rPr>
          <w:rFonts w:ascii="Times New Roman" w:hAnsi="Times New Roman" w:eastAsia="Calibri" w:cs="Times New Roman"/>
          <w:b/>
          <w:sz w:val="28"/>
          <w:szCs w:val="28"/>
        </w:rPr>
      </w:pPr>
    </w:p>
    <w:p w14:paraId="0533DDCA">
      <w:pPr>
        <w:spacing w:after="0" w:line="240" w:lineRule="auto"/>
        <w:jc w:val="center"/>
        <w:rPr>
          <w:rFonts w:ascii="Times New Roman" w:hAnsi="Times New Roman" w:eastAsia="Calibri" w:cs="Times New Roman"/>
          <w:b/>
          <w:sz w:val="28"/>
          <w:szCs w:val="28"/>
        </w:rPr>
      </w:pPr>
    </w:p>
    <w:p w14:paraId="1D674780">
      <w:pPr>
        <w:spacing w:after="0" w:line="240" w:lineRule="auto"/>
        <w:jc w:val="center"/>
        <w:rPr>
          <w:rFonts w:ascii="Times New Roman" w:hAnsi="Times New Roman" w:eastAsia="Calibri" w:cs="Times New Roman"/>
          <w:b/>
          <w:sz w:val="28"/>
          <w:szCs w:val="28"/>
        </w:rPr>
      </w:pPr>
    </w:p>
    <w:p w14:paraId="03F0337B">
      <w:pPr>
        <w:spacing w:after="0" w:line="240" w:lineRule="auto"/>
        <w:jc w:val="center"/>
        <w:rPr>
          <w:rFonts w:ascii="Times New Roman" w:hAnsi="Times New Roman" w:eastAsia="Calibri" w:cs="Times New Roman"/>
          <w:b/>
          <w:sz w:val="28"/>
          <w:szCs w:val="28"/>
        </w:rPr>
      </w:pPr>
    </w:p>
    <w:p w14:paraId="1042A956">
      <w:pPr>
        <w:spacing w:after="0" w:line="240" w:lineRule="auto"/>
        <w:jc w:val="center"/>
        <w:rPr>
          <w:rFonts w:ascii="Times New Roman" w:hAnsi="Times New Roman" w:eastAsia="Calibri" w:cs="Times New Roman"/>
          <w:b/>
          <w:sz w:val="28"/>
          <w:szCs w:val="28"/>
        </w:rPr>
      </w:pPr>
    </w:p>
    <w:p w14:paraId="50EABDFE">
      <w:pPr>
        <w:spacing w:after="0" w:line="240" w:lineRule="auto"/>
        <w:jc w:val="center"/>
        <w:rPr>
          <w:rFonts w:ascii="Times New Roman" w:hAnsi="Times New Roman" w:eastAsia="Calibri" w:cs="Times New Roman"/>
          <w:b/>
          <w:sz w:val="28"/>
          <w:szCs w:val="28"/>
        </w:rPr>
      </w:pPr>
    </w:p>
    <w:p w14:paraId="625A85C5">
      <w:pPr>
        <w:spacing w:after="0" w:line="240" w:lineRule="auto"/>
        <w:jc w:val="center"/>
        <w:rPr>
          <w:rFonts w:ascii="Times New Roman" w:hAnsi="Times New Roman" w:eastAsia="Calibri" w:cs="Times New Roman"/>
          <w:b/>
          <w:sz w:val="28"/>
          <w:szCs w:val="28"/>
        </w:rPr>
      </w:pPr>
    </w:p>
    <w:p w14:paraId="0C42F2EE">
      <w:pPr>
        <w:spacing w:after="0" w:line="240" w:lineRule="auto"/>
        <w:jc w:val="center"/>
        <w:rPr>
          <w:rFonts w:ascii="Times New Roman" w:hAnsi="Times New Roman" w:eastAsia="Calibri" w:cs="Times New Roman"/>
          <w:b/>
          <w:sz w:val="28"/>
          <w:szCs w:val="28"/>
        </w:rPr>
      </w:pPr>
    </w:p>
    <w:p w14:paraId="461AE4BA">
      <w:pPr>
        <w:spacing w:after="0" w:line="240" w:lineRule="auto"/>
        <w:jc w:val="center"/>
        <w:rPr>
          <w:rFonts w:ascii="Times New Roman" w:hAnsi="Times New Roman" w:eastAsia="Calibri" w:cs="Times New Roman"/>
          <w:b/>
          <w:sz w:val="28"/>
          <w:szCs w:val="28"/>
        </w:rPr>
      </w:pPr>
    </w:p>
    <w:p w14:paraId="083BAAE3">
      <w:pPr>
        <w:spacing w:after="0" w:line="240" w:lineRule="auto"/>
        <w:jc w:val="center"/>
        <w:rPr>
          <w:rFonts w:ascii="Times New Roman" w:hAnsi="Times New Roman" w:eastAsia="Calibri" w:cs="Times New Roman"/>
          <w:b/>
          <w:sz w:val="28"/>
          <w:szCs w:val="28"/>
        </w:rPr>
      </w:pPr>
    </w:p>
    <w:p w14:paraId="4271B273">
      <w:pPr>
        <w:spacing w:after="0" w:line="240" w:lineRule="auto"/>
        <w:jc w:val="center"/>
        <w:rPr>
          <w:rFonts w:ascii="Times New Roman" w:hAnsi="Times New Roman" w:eastAsia="Calibri" w:cs="Times New Roman"/>
          <w:b/>
          <w:sz w:val="28"/>
          <w:szCs w:val="28"/>
        </w:rPr>
      </w:pPr>
    </w:p>
    <w:p w14:paraId="54BF6F00">
      <w:pPr>
        <w:spacing w:after="0" w:line="240" w:lineRule="auto"/>
        <w:jc w:val="center"/>
        <w:rPr>
          <w:rFonts w:ascii="Times New Roman" w:hAnsi="Times New Roman" w:eastAsia="Calibri" w:cs="Times New Roman"/>
          <w:b/>
          <w:sz w:val="28"/>
          <w:szCs w:val="28"/>
        </w:rPr>
      </w:pPr>
    </w:p>
    <w:p w14:paraId="0B82156A">
      <w:pPr>
        <w:spacing w:after="0" w:line="240" w:lineRule="auto"/>
        <w:jc w:val="center"/>
        <w:rPr>
          <w:rFonts w:ascii="Times New Roman" w:hAnsi="Times New Roman" w:eastAsia="Calibri" w:cs="Times New Roman"/>
          <w:b/>
          <w:sz w:val="28"/>
          <w:szCs w:val="28"/>
        </w:rPr>
      </w:pPr>
    </w:p>
    <w:p w14:paraId="6F423FA2">
      <w:pPr>
        <w:spacing w:after="0" w:line="240" w:lineRule="auto"/>
        <w:jc w:val="center"/>
        <w:rPr>
          <w:rFonts w:ascii="Times New Roman" w:hAnsi="Times New Roman" w:eastAsia="Calibri" w:cs="Times New Roman"/>
          <w:b/>
          <w:sz w:val="28"/>
          <w:szCs w:val="28"/>
        </w:rPr>
      </w:pPr>
    </w:p>
    <w:p w14:paraId="40A51B22">
      <w:pPr>
        <w:spacing w:after="0" w:line="240" w:lineRule="auto"/>
        <w:jc w:val="center"/>
        <w:rPr>
          <w:rFonts w:ascii="Times New Roman" w:hAnsi="Times New Roman" w:eastAsia="Calibri" w:cs="Times New Roman"/>
          <w:b/>
          <w:sz w:val="28"/>
          <w:szCs w:val="28"/>
        </w:rPr>
      </w:pPr>
    </w:p>
    <w:p w14:paraId="63F13F2C">
      <w:pPr>
        <w:spacing w:after="0" w:line="240" w:lineRule="auto"/>
        <w:jc w:val="center"/>
        <w:rPr>
          <w:rFonts w:ascii="Times New Roman" w:hAnsi="Times New Roman" w:eastAsia="Calibri" w:cs="Times New Roman"/>
          <w:b/>
          <w:sz w:val="28"/>
          <w:szCs w:val="28"/>
        </w:rPr>
      </w:pPr>
    </w:p>
    <w:p w14:paraId="6BD872D4">
      <w:pPr>
        <w:spacing w:after="0" w:line="240" w:lineRule="auto"/>
        <w:jc w:val="center"/>
        <w:rPr>
          <w:rFonts w:ascii="Times New Roman" w:hAnsi="Times New Roman" w:eastAsia="Calibri" w:cs="Times New Roman"/>
          <w:b/>
          <w:sz w:val="28"/>
          <w:szCs w:val="28"/>
        </w:rPr>
      </w:pPr>
    </w:p>
    <w:p w14:paraId="21E6E03D">
      <w:pPr>
        <w:spacing w:after="0" w:line="240" w:lineRule="auto"/>
        <w:jc w:val="center"/>
        <w:rPr>
          <w:rFonts w:ascii="Times New Roman" w:hAnsi="Times New Roman" w:eastAsia="Calibri" w:cs="Times New Roman"/>
          <w:b/>
          <w:sz w:val="28"/>
          <w:szCs w:val="28"/>
        </w:rPr>
      </w:pPr>
    </w:p>
    <w:p w14:paraId="6692211C">
      <w:pPr>
        <w:spacing w:after="0" w:line="240" w:lineRule="auto"/>
        <w:jc w:val="center"/>
        <w:rPr>
          <w:rFonts w:ascii="Times New Roman" w:hAnsi="Times New Roman" w:eastAsia="Calibri" w:cs="Times New Roman"/>
          <w:b/>
          <w:sz w:val="28"/>
          <w:szCs w:val="28"/>
        </w:rPr>
      </w:pPr>
    </w:p>
    <w:p w14:paraId="06E532CD">
      <w:pPr>
        <w:spacing w:after="0" w:line="240" w:lineRule="auto"/>
        <w:jc w:val="center"/>
        <w:rPr>
          <w:rFonts w:ascii="Times New Roman" w:hAnsi="Times New Roman" w:eastAsia="Calibri" w:cs="Times New Roman"/>
          <w:b/>
          <w:sz w:val="28"/>
          <w:szCs w:val="28"/>
        </w:rPr>
      </w:pPr>
    </w:p>
    <w:p w14:paraId="3ED20FB0">
      <w:pPr>
        <w:spacing w:after="0" w:line="240" w:lineRule="auto"/>
        <w:jc w:val="center"/>
        <w:rPr>
          <w:rFonts w:ascii="Times New Roman" w:hAnsi="Times New Roman" w:eastAsia="Calibri" w:cs="Times New Roman"/>
          <w:b/>
          <w:sz w:val="28"/>
          <w:szCs w:val="28"/>
        </w:rPr>
      </w:pPr>
    </w:p>
    <w:p w14:paraId="030A9DB2">
      <w:pPr>
        <w:spacing w:after="0" w:line="240" w:lineRule="auto"/>
        <w:jc w:val="center"/>
        <w:rPr>
          <w:rFonts w:ascii="Times New Roman" w:hAnsi="Times New Roman" w:eastAsia="Calibri" w:cs="Times New Roman"/>
          <w:b/>
          <w:sz w:val="28"/>
          <w:szCs w:val="28"/>
        </w:rPr>
      </w:pPr>
    </w:p>
    <w:p w14:paraId="2A3DBA04">
      <w:pPr>
        <w:spacing w:after="0" w:line="240" w:lineRule="auto"/>
        <w:jc w:val="center"/>
        <w:rPr>
          <w:rFonts w:ascii="Times New Roman" w:hAnsi="Times New Roman" w:eastAsia="Calibri" w:cs="Times New Roman"/>
          <w:b/>
          <w:sz w:val="28"/>
          <w:szCs w:val="28"/>
        </w:rPr>
      </w:pPr>
    </w:p>
    <w:p w14:paraId="6F409226">
      <w:pPr>
        <w:spacing w:after="0" w:line="240" w:lineRule="auto"/>
        <w:jc w:val="center"/>
        <w:rPr>
          <w:rFonts w:ascii="Times New Roman" w:hAnsi="Times New Roman" w:eastAsia="Calibri" w:cs="Times New Roman"/>
          <w:b/>
          <w:sz w:val="28"/>
          <w:szCs w:val="28"/>
        </w:rPr>
      </w:pPr>
    </w:p>
    <w:p w14:paraId="2B86C17A">
      <w:pPr>
        <w:spacing w:after="0" w:line="240" w:lineRule="auto"/>
        <w:jc w:val="center"/>
        <w:rPr>
          <w:rFonts w:ascii="Times New Roman" w:hAnsi="Times New Roman" w:eastAsia="Calibri" w:cs="Times New Roman"/>
          <w:b/>
          <w:sz w:val="28"/>
          <w:szCs w:val="28"/>
        </w:rPr>
      </w:pPr>
    </w:p>
    <w:p w14:paraId="3A4915A1">
      <w:pPr>
        <w:spacing w:after="0" w:line="240" w:lineRule="auto"/>
        <w:jc w:val="center"/>
        <w:rPr>
          <w:rFonts w:ascii="Times New Roman" w:hAnsi="Times New Roman" w:eastAsia="Calibri" w:cs="Times New Roman"/>
          <w:b/>
          <w:sz w:val="28"/>
          <w:szCs w:val="28"/>
        </w:rPr>
      </w:pPr>
    </w:p>
    <w:p w14:paraId="59416345">
      <w:pPr>
        <w:spacing w:after="0" w:line="240" w:lineRule="auto"/>
        <w:jc w:val="center"/>
        <w:rPr>
          <w:rFonts w:ascii="Times New Roman" w:hAnsi="Times New Roman" w:eastAsia="Calibri" w:cs="Times New Roman"/>
          <w:b/>
          <w:sz w:val="28"/>
          <w:szCs w:val="28"/>
        </w:rPr>
      </w:pPr>
    </w:p>
    <w:p w14:paraId="6E00527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ЛИСТОК ПОГОДЖЕННЯ</w:t>
      </w:r>
    </w:p>
    <w:p w14:paraId="1D6930C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ПРОЄКТУ РІШЕННЯ ВИКОНАВЧОГО КОМІТЕТА ПОПІВСЬКОЇ СІЛЬСЬКОЇ РАДИ КОНОТОПСЬКОГО РАЙОНУ СУМСЬКОЇ ОБЛАСТІ</w:t>
      </w:r>
    </w:p>
    <w:p w14:paraId="6781BC2D">
      <w:pPr>
        <w:spacing w:after="0" w:line="240" w:lineRule="auto"/>
        <w:jc w:val="center"/>
        <w:textAlignment w:val="baseline"/>
        <w:rPr>
          <w:rFonts w:ascii="Times New Roman" w:hAnsi="Times New Roman" w:eastAsia="Calibri"/>
          <w:sz w:val="28"/>
          <w:szCs w:val="28"/>
        </w:rPr>
      </w:pPr>
      <w:r>
        <w:rPr>
          <w:rFonts w:ascii="Times New Roman" w:hAnsi="Times New Roman" w:eastAsia="Calibri"/>
          <w:sz w:val="28"/>
          <w:szCs w:val="28"/>
        </w:rPr>
        <w:t>“Про створення та функціонування консультаційних пунктів для надання населенню за місцем проживання інформації з питань цивільного захисту на території Попівської сільської ради Конотопського району Сумської області”</w:t>
      </w:r>
    </w:p>
    <w:p w14:paraId="771D01C8">
      <w:pPr>
        <w:spacing w:after="0" w:line="240" w:lineRule="auto"/>
        <w:jc w:val="center"/>
        <w:rPr>
          <w:rFonts w:ascii="Times New Roman" w:hAnsi="Times New Roman" w:eastAsia="Calibri"/>
          <w:sz w:val="28"/>
          <w:szCs w:val="28"/>
        </w:rPr>
      </w:pPr>
    </w:p>
    <w:p w14:paraId="2EDA4407">
      <w:pPr>
        <w:spacing w:after="0" w:line="240" w:lineRule="auto"/>
        <w:rPr>
          <w:rFonts w:ascii="Times New Roman" w:hAnsi="Times New Roman" w:eastAsia="Calibri"/>
          <w:sz w:val="28"/>
          <w:szCs w:val="28"/>
        </w:rPr>
      </w:pPr>
      <w:r>
        <w:rPr>
          <w:rFonts w:ascii="Times New Roman" w:hAnsi="Times New Roman" w:eastAsia="Calibri"/>
          <w:sz w:val="28"/>
          <w:szCs w:val="28"/>
        </w:rPr>
        <w:t>Розробник:</w:t>
      </w:r>
    </w:p>
    <w:p w14:paraId="06708974">
      <w:pPr>
        <w:spacing w:after="0" w:line="240" w:lineRule="auto"/>
        <w:rPr>
          <w:rFonts w:ascii="Times New Roman" w:hAnsi="Times New Roman" w:eastAsia="Calibri"/>
          <w:sz w:val="28"/>
          <w:szCs w:val="28"/>
        </w:rPr>
      </w:pPr>
      <w:r>
        <w:rPr>
          <w:rFonts w:ascii="Times New Roman" w:hAnsi="Times New Roman" w:eastAsia="Calibri"/>
          <w:sz w:val="28"/>
          <w:szCs w:val="28"/>
        </w:rPr>
        <w:t xml:space="preserve">Головний спеціаліст відділу </w:t>
      </w:r>
    </w:p>
    <w:p w14:paraId="2655D081">
      <w:pPr>
        <w:spacing w:after="0" w:line="240" w:lineRule="auto"/>
        <w:rPr>
          <w:rFonts w:ascii="Times New Roman" w:hAnsi="Times New Roman" w:eastAsia="Calibri"/>
          <w:sz w:val="28"/>
          <w:szCs w:val="28"/>
        </w:rPr>
      </w:pPr>
      <w:r>
        <w:rPr>
          <w:rFonts w:ascii="Times New Roman" w:hAnsi="Times New Roman" w:eastAsia="Calibri"/>
          <w:sz w:val="28"/>
          <w:szCs w:val="28"/>
        </w:rPr>
        <w:t>земельних ресурсів та екології         ________________ Ярослава ЧЕРНЯВСЬКА</w:t>
      </w:r>
    </w:p>
    <w:p w14:paraId="452CA287">
      <w:pPr>
        <w:spacing w:after="0" w:line="240" w:lineRule="auto"/>
        <w:rPr>
          <w:rFonts w:ascii="Times New Roman" w:hAnsi="Times New Roman" w:eastAsia="Calibri"/>
          <w:sz w:val="28"/>
          <w:szCs w:val="28"/>
        </w:rPr>
      </w:pPr>
    </w:p>
    <w:p w14:paraId="5C6401B0">
      <w:pPr>
        <w:tabs>
          <w:tab w:val="left" w:pos="2145"/>
        </w:tabs>
        <w:spacing w:after="0" w:line="240" w:lineRule="auto"/>
        <w:rPr>
          <w:rFonts w:ascii="Times New Roman" w:hAnsi="Times New Roman" w:eastAsia="Calibri"/>
          <w:sz w:val="28"/>
          <w:szCs w:val="28"/>
        </w:rPr>
      </w:pPr>
      <w:r>
        <w:rPr>
          <w:rFonts w:ascii="Times New Roman" w:hAnsi="Times New Roman" w:eastAsia="Calibri"/>
          <w:sz w:val="28"/>
          <w:szCs w:val="28"/>
        </w:rPr>
        <w:t>Погоджено:</w:t>
      </w:r>
      <w:r>
        <w:rPr>
          <w:rFonts w:ascii="Times New Roman" w:hAnsi="Times New Roman" w:eastAsia="Calibri"/>
          <w:sz w:val="28"/>
          <w:szCs w:val="28"/>
        </w:rPr>
        <w:tab/>
      </w:r>
    </w:p>
    <w:p w14:paraId="03A1A551">
      <w:pPr>
        <w:tabs>
          <w:tab w:val="left" w:pos="2145"/>
        </w:tabs>
        <w:spacing w:after="0" w:line="240" w:lineRule="auto"/>
        <w:rPr>
          <w:rFonts w:ascii="Times New Roman" w:hAnsi="Times New Roman" w:eastAsia="Calibri"/>
          <w:sz w:val="28"/>
          <w:szCs w:val="28"/>
        </w:rPr>
      </w:pPr>
    </w:p>
    <w:p w14:paraId="6B4FC8E0">
      <w:pPr>
        <w:spacing w:after="0" w:line="240" w:lineRule="auto"/>
        <w:rPr>
          <w:rFonts w:ascii="Times New Roman" w:hAnsi="Times New Roman" w:eastAsia="Calibri"/>
          <w:sz w:val="28"/>
          <w:szCs w:val="28"/>
        </w:rPr>
      </w:pPr>
    </w:p>
    <w:p w14:paraId="6EDA18E8">
      <w:pPr>
        <w:spacing w:after="0" w:line="240" w:lineRule="auto"/>
        <w:rPr>
          <w:rFonts w:ascii="Times New Roman" w:hAnsi="Times New Roman" w:eastAsia="Calibri"/>
          <w:sz w:val="28"/>
          <w:szCs w:val="28"/>
        </w:rPr>
      </w:pPr>
      <w:r>
        <w:rPr>
          <w:rFonts w:ascii="Times New Roman" w:hAnsi="Times New Roman" w:eastAsia="Calibri"/>
          <w:sz w:val="28"/>
          <w:szCs w:val="28"/>
        </w:rPr>
        <w:t>Начальник відділу правового</w:t>
      </w:r>
    </w:p>
    <w:p w14:paraId="3FFA6CE6">
      <w:pPr>
        <w:spacing w:after="0" w:line="240" w:lineRule="auto"/>
        <w:rPr>
          <w:rFonts w:ascii="Times New Roman" w:hAnsi="Times New Roman" w:eastAsia="Calibri"/>
          <w:sz w:val="28"/>
          <w:szCs w:val="28"/>
        </w:rPr>
      </w:pPr>
      <w:r>
        <w:rPr>
          <w:rFonts w:ascii="Times New Roman" w:hAnsi="Times New Roman" w:eastAsia="Calibri"/>
          <w:sz w:val="28"/>
          <w:szCs w:val="28"/>
        </w:rPr>
        <w:t>забезпечення сільської ради               ________________ Олеся ОЛЕФІРЕНКО</w:t>
      </w:r>
    </w:p>
    <w:p w14:paraId="05308DB3">
      <w:pPr>
        <w:spacing w:after="0" w:line="240" w:lineRule="auto"/>
        <w:rPr>
          <w:rFonts w:ascii="Times New Roman" w:hAnsi="Times New Roman" w:eastAsia="Calibri"/>
          <w:sz w:val="28"/>
          <w:szCs w:val="28"/>
        </w:rPr>
      </w:pPr>
      <w:r>
        <w:rPr>
          <w:rFonts w:ascii="Times New Roman" w:hAnsi="Times New Roman" w:eastAsia="Calibri"/>
          <w:sz w:val="28"/>
          <w:szCs w:val="28"/>
        </w:rPr>
        <w:t xml:space="preserve">     </w:t>
      </w:r>
    </w:p>
    <w:p w14:paraId="32B8ACD9">
      <w:pPr>
        <w:spacing w:after="0" w:line="240" w:lineRule="auto"/>
        <w:rPr>
          <w:rFonts w:ascii="Times New Roman" w:hAnsi="Times New Roman" w:eastAsia="Calibri"/>
          <w:sz w:val="28"/>
          <w:szCs w:val="28"/>
        </w:rPr>
      </w:pPr>
      <w:r>
        <w:rPr>
          <w:rFonts w:ascii="Times New Roman" w:hAnsi="Times New Roman" w:eastAsia="Calibri"/>
          <w:sz w:val="28"/>
          <w:szCs w:val="28"/>
        </w:rPr>
        <w:t>Заступник сільського голови</w:t>
      </w:r>
    </w:p>
    <w:p w14:paraId="71CBC9BC">
      <w:pPr>
        <w:spacing w:after="0" w:line="240" w:lineRule="auto"/>
        <w:rPr>
          <w:rFonts w:ascii="Times New Roman" w:hAnsi="Times New Roman" w:eastAsia="Calibri"/>
          <w:sz w:val="28"/>
          <w:szCs w:val="28"/>
        </w:rPr>
      </w:pPr>
      <w:r>
        <w:rPr>
          <w:rFonts w:ascii="Times New Roman" w:hAnsi="Times New Roman" w:eastAsia="Calibri"/>
          <w:sz w:val="28"/>
          <w:szCs w:val="28"/>
        </w:rPr>
        <w:t>з питань діяльності</w:t>
      </w:r>
    </w:p>
    <w:p w14:paraId="32072763">
      <w:pPr>
        <w:spacing w:after="0" w:line="240" w:lineRule="auto"/>
        <w:rPr>
          <w:rFonts w:ascii="Times New Roman" w:hAnsi="Times New Roman" w:eastAsia="Calibri"/>
          <w:sz w:val="28"/>
          <w:szCs w:val="28"/>
        </w:rPr>
      </w:pPr>
      <w:r>
        <w:rPr>
          <w:rFonts w:ascii="Times New Roman" w:hAnsi="Times New Roman" w:eastAsia="Calibri"/>
          <w:sz w:val="28"/>
          <w:szCs w:val="28"/>
        </w:rPr>
        <w:t>виконавчих органів ради                       _______________ Ірина КЛІГУНОВА</w:t>
      </w:r>
    </w:p>
    <w:p w14:paraId="577EBEA1">
      <w:pPr>
        <w:spacing w:after="0" w:line="240" w:lineRule="auto"/>
        <w:rPr>
          <w:rFonts w:ascii="Times New Roman" w:hAnsi="Times New Roman" w:eastAsia="Calibri"/>
          <w:sz w:val="28"/>
          <w:szCs w:val="28"/>
        </w:rPr>
      </w:pPr>
    </w:p>
    <w:p w14:paraId="34641323">
      <w:pPr>
        <w:spacing w:after="0" w:line="240" w:lineRule="auto"/>
        <w:rPr>
          <w:rFonts w:ascii="Times New Roman" w:hAnsi="Times New Roman" w:eastAsia="Calibri"/>
          <w:sz w:val="28"/>
          <w:szCs w:val="28"/>
        </w:rPr>
      </w:pPr>
    </w:p>
    <w:p w14:paraId="4E4CA562">
      <w:pPr>
        <w:spacing w:after="0" w:line="240" w:lineRule="auto"/>
        <w:rPr>
          <w:rFonts w:ascii="Times New Roman" w:hAnsi="Times New Roman" w:eastAsia="Calibri"/>
          <w:sz w:val="28"/>
          <w:szCs w:val="28"/>
        </w:rPr>
      </w:pPr>
    </w:p>
    <w:p w14:paraId="6D718022">
      <w:pPr>
        <w:spacing w:after="0" w:line="240" w:lineRule="auto"/>
        <w:rPr>
          <w:rFonts w:ascii="Times New Roman" w:hAnsi="Times New Roman" w:eastAsia="Calibri"/>
          <w:sz w:val="28"/>
          <w:szCs w:val="28"/>
        </w:rPr>
      </w:pPr>
    </w:p>
    <w:p w14:paraId="364D88E5">
      <w:pPr>
        <w:spacing w:after="0" w:line="240" w:lineRule="auto"/>
        <w:rPr>
          <w:rFonts w:ascii="Times New Roman" w:hAnsi="Times New Roman" w:eastAsia="Calibri"/>
          <w:sz w:val="28"/>
          <w:szCs w:val="28"/>
        </w:rPr>
      </w:pPr>
    </w:p>
    <w:p w14:paraId="57898C70">
      <w:pPr>
        <w:spacing w:after="0" w:line="240" w:lineRule="auto"/>
        <w:rPr>
          <w:rFonts w:ascii="Times New Roman" w:hAnsi="Times New Roman" w:eastAsia="Calibri"/>
          <w:sz w:val="28"/>
          <w:szCs w:val="28"/>
        </w:rPr>
      </w:pPr>
    </w:p>
    <w:p w14:paraId="52DD76F5">
      <w:pPr>
        <w:spacing w:after="0" w:line="240" w:lineRule="auto"/>
        <w:rPr>
          <w:rFonts w:ascii="Times New Roman" w:hAnsi="Times New Roman" w:eastAsia="Calibri"/>
          <w:sz w:val="28"/>
          <w:szCs w:val="28"/>
        </w:rPr>
      </w:pPr>
    </w:p>
    <w:p w14:paraId="15297FC8">
      <w:pPr>
        <w:spacing w:after="0" w:line="240" w:lineRule="auto"/>
        <w:rPr>
          <w:rFonts w:ascii="Times New Roman" w:hAnsi="Times New Roman" w:eastAsia="Calibri"/>
          <w:sz w:val="28"/>
          <w:szCs w:val="28"/>
        </w:rPr>
      </w:pPr>
    </w:p>
    <w:p w14:paraId="7417C8E9">
      <w:pPr>
        <w:spacing w:after="0" w:line="240" w:lineRule="auto"/>
        <w:rPr>
          <w:rFonts w:ascii="Times New Roman" w:hAnsi="Times New Roman" w:eastAsia="Calibri"/>
          <w:sz w:val="28"/>
          <w:szCs w:val="28"/>
        </w:rPr>
      </w:pPr>
    </w:p>
    <w:p w14:paraId="4F8387C2">
      <w:pPr>
        <w:spacing w:after="0" w:line="240" w:lineRule="auto"/>
        <w:rPr>
          <w:rFonts w:ascii="Times New Roman" w:hAnsi="Times New Roman" w:eastAsia="Calibri"/>
          <w:sz w:val="28"/>
          <w:szCs w:val="28"/>
        </w:rPr>
      </w:pPr>
    </w:p>
    <w:p w14:paraId="03FBF3B9">
      <w:pPr>
        <w:spacing w:after="0" w:line="240" w:lineRule="auto"/>
        <w:rPr>
          <w:rFonts w:ascii="Times New Roman" w:hAnsi="Times New Roman" w:eastAsia="Calibri"/>
          <w:sz w:val="28"/>
          <w:szCs w:val="28"/>
        </w:rPr>
      </w:pPr>
    </w:p>
    <w:p w14:paraId="73C1B64D">
      <w:pPr>
        <w:spacing w:after="0" w:line="240" w:lineRule="auto"/>
        <w:rPr>
          <w:rFonts w:ascii="Times New Roman" w:hAnsi="Times New Roman" w:eastAsia="Calibri"/>
          <w:sz w:val="28"/>
          <w:szCs w:val="28"/>
        </w:rPr>
      </w:pPr>
    </w:p>
    <w:p w14:paraId="697BADB8">
      <w:pPr>
        <w:spacing w:after="0" w:line="240" w:lineRule="auto"/>
        <w:rPr>
          <w:rFonts w:ascii="Times New Roman" w:hAnsi="Times New Roman" w:eastAsia="Calibri"/>
          <w:sz w:val="28"/>
          <w:szCs w:val="28"/>
        </w:rPr>
      </w:pPr>
    </w:p>
    <w:p w14:paraId="48C44E86">
      <w:pPr>
        <w:spacing w:after="0" w:line="240" w:lineRule="auto"/>
        <w:rPr>
          <w:rFonts w:ascii="Times New Roman" w:hAnsi="Times New Roman" w:eastAsia="Calibri"/>
          <w:sz w:val="28"/>
          <w:szCs w:val="28"/>
        </w:rPr>
      </w:pPr>
    </w:p>
    <w:p w14:paraId="2E054CFD">
      <w:pPr>
        <w:spacing w:after="0" w:line="240" w:lineRule="auto"/>
        <w:rPr>
          <w:rFonts w:ascii="Times New Roman" w:hAnsi="Times New Roman" w:eastAsia="Calibri"/>
          <w:sz w:val="28"/>
          <w:szCs w:val="28"/>
        </w:rPr>
      </w:pPr>
    </w:p>
    <w:p w14:paraId="1C674560">
      <w:pPr>
        <w:spacing w:after="0" w:line="240" w:lineRule="auto"/>
        <w:rPr>
          <w:rFonts w:ascii="Times New Roman" w:hAnsi="Times New Roman" w:eastAsia="Calibri"/>
          <w:sz w:val="28"/>
          <w:szCs w:val="28"/>
        </w:rPr>
      </w:pPr>
    </w:p>
    <w:p w14:paraId="40DD47F2">
      <w:pPr>
        <w:spacing w:after="0" w:line="240" w:lineRule="auto"/>
        <w:rPr>
          <w:rFonts w:ascii="Times New Roman" w:hAnsi="Times New Roman" w:eastAsia="Calibri"/>
          <w:sz w:val="28"/>
          <w:szCs w:val="28"/>
        </w:rPr>
      </w:pPr>
    </w:p>
    <w:p w14:paraId="254E3F37">
      <w:pPr>
        <w:spacing w:after="0" w:line="240" w:lineRule="auto"/>
        <w:rPr>
          <w:rFonts w:ascii="Times New Roman" w:hAnsi="Times New Roman" w:eastAsia="Calibri"/>
          <w:sz w:val="28"/>
          <w:szCs w:val="28"/>
        </w:rPr>
      </w:pPr>
    </w:p>
    <w:p w14:paraId="041DE11D">
      <w:pPr>
        <w:spacing w:after="0" w:line="240" w:lineRule="auto"/>
        <w:rPr>
          <w:rFonts w:ascii="Times New Roman" w:hAnsi="Times New Roman" w:eastAsia="Calibri"/>
          <w:sz w:val="28"/>
          <w:szCs w:val="28"/>
        </w:rPr>
      </w:pPr>
    </w:p>
    <w:p w14:paraId="0951D2FB">
      <w:pPr>
        <w:spacing w:after="0" w:line="240" w:lineRule="auto"/>
        <w:rPr>
          <w:rFonts w:ascii="Times New Roman" w:hAnsi="Times New Roman" w:eastAsia="Calibri"/>
          <w:sz w:val="28"/>
          <w:szCs w:val="28"/>
        </w:rPr>
      </w:pPr>
      <w:r>
        <w:rPr>
          <w:rFonts w:ascii="Times New Roman" w:hAnsi="Times New Roman" w:eastAsia="Calibri"/>
          <w:sz w:val="28"/>
          <w:szCs w:val="28"/>
        </w:rPr>
        <w:t>“____” ______________ 2025 року</w:t>
      </w:r>
    </w:p>
    <w:p w14:paraId="23179890">
      <w:pPr>
        <w:spacing w:after="0" w:line="240" w:lineRule="auto"/>
        <w:rPr>
          <w:rFonts w:ascii="Times New Roman" w:hAnsi="Times New Roman" w:eastAsia="Calibri"/>
          <w:sz w:val="28"/>
          <w:szCs w:val="28"/>
        </w:rPr>
      </w:pPr>
    </w:p>
    <w:p w14:paraId="5B449AB0">
      <w:pPr>
        <w:spacing w:after="0" w:line="240" w:lineRule="auto"/>
        <w:rPr>
          <w:rFonts w:ascii="Times New Roman" w:hAnsi="Times New Roman" w:eastAsia="Calibri"/>
          <w:sz w:val="28"/>
          <w:szCs w:val="28"/>
        </w:rPr>
      </w:pPr>
    </w:p>
    <w:p w14:paraId="71EF2BA0">
      <w:pPr>
        <w:spacing w:after="0" w:line="240" w:lineRule="auto"/>
        <w:rPr>
          <w:rFonts w:ascii="Times New Roman" w:hAnsi="Times New Roman" w:eastAsia="Calibri"/>
          <w:sz w:val="28"/>
          <w:szCs w:val="28"/>
        </w:rPr>
      </w:pPr>
    </w:p>
    <w:p w14:paraId="0DDC0358">
      <w:pPr>
        <w:spacing w:after="0" w:line="240" w:lineRule="auto"/>
        <w:rPr>
          <w:rFonts w:ascii="Times New Roman" w:hAnsi="Times New Roman" w:eastAsia="Calibri"/>
          <w:sz w:val="28"/>
          <w:szCs w:val="28"/>
        </w:rPr>
      </w:pPr>
      <w:r>
        <w:rPr>
          <w:rFonts w:ascii="Times New Roman" w:hAnsi="Times New Roman" w:eastAsia="Calibri"/>
          <w:sz w:val="28"/>
          <w:szCs w:val="28"/>
        </w:rPr>
        <w:t>Проєкт рішення підготовлений з урахуванням вимог Закону України “Про</w:t>
      </w:r>
    </w:p>
    <w:p w14:paraId="4BBF1479">
      <w:pPr>
        <w:spacing w:after="0" w:line="240" w:lineRule="auto"/>
        <w:jc w:val="both"/>
        <w:rPr>
          <w:rFonts w:ascii="Times New Roman" w:hAnsi="Times New Roman" w:eastAsia="Calibri" w:cs="Times New Roman"/>
          <w:b/>
          <w:sz w:val="28"/>
          <w:szCs w:val="28"/>
        </w:rPr>
      </w:pPr>
      <w:r>
        <w:rPr>
          <w:rFonts w:ascii="Times New Roman" w:hAnsi="Times New Roman" w:eastAsia="Calibri"/>
          <w:sz w:val="28"/>
          <w:szCs w:val="28"/>
        </w:rPr>
        <w:t>доступ до публічної інформації” та Закону України “Про захист персональних даних»</w:t>
      </w:r>
    </w:p>
    <w:sectPr>
      <w:pgSz w:w="11906" w:h="16838"/>
      <w:pgMar w:top="850" w:right="850" w:bottom="850" w:left="1417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0002EFF" w:usb1="C000247B" w:usb2="00000009" w:usb3="00000000" w:csb0="200001FF" w:csb1="00000000"/>
  </w:font>
  <w:font w:name="Calibri">
    <w:panose1 w:val="020F0502020204030204"/>
    <w:charset w:val="86"/>
    <w:family w:val="swiss"/>
    <w:pitch w:val="default"/>
    <w:sig w:usb0="E0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0002EFF" w:usb1="C000247B" w:usb2="00000009" w:usb3="00000000" w:csb0="200001FF" w:csb1="00000000"/>
  </w:font>
  <w:font w:name="Segoe UI">
    <w:panose1 w:val="020B0502040204020203"/>
    <w:charset w:val="CC"/>
    <w:family w:val="swiss"/>
    <w:pitch w:val="default"/>
    <w:sig w:usb0="E4002EFF" w:usb1="C000E47F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ocumentProtection w:enforcement="0"/>
  <w:defaultTabStop w:val="720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25B4"/>
    <w:rsid w:val="00055A33"/>
    <w:rsid w:val="000624F0"/>
    <w:rsid w:val="00064AE3"/>
    <w:rsid w:val="00137AF1"/>
    <w:rsid w:val="00167052"/>
    <w:rsid w:val="001C5F7A"/>
    <w:rsid w:val="00272297"/>
    <w:rsid w:val="0030418F"/>
    <w:rsid w:val="0033434B"/>
    <w:rsid w:val="003379DE"/>
    <w:rsid w:val="003C3CB9"/>
    <w:rsid w:val="003F0956"/>
    <w:rsid w:val="004547E0"/>
    <w:rsid w:val="004868A3"/>
    <w:rsid w:val="005162B9"/>
    <w:rsid w:val="00536D0A"/>
    <w:rsid w:val="005F1105"/>
    <w:rsid w:val="00655E67"/>
    <w:rsid w:val="00695F8B"/>
    <w:rsid w:val="006D25B4"/>
    <w:rsid w:val="007133F6"/>
    <w:rsid w:val="007E123F"/>
    <w:rsid w:val="007E681A"/>
    <w:rsid w:val="007E7069"/>
    <w:rsid w:val="00821B0A"/>
    <w:rsid w:val="00853CA6"/>
    <w:rsid w:val="00936DBA"/>
    <w:rsid w:val="009A2CC1"/>
    <w:rsid w:val="009D2452"/>
    <w:rsid w:val="00A03D44"/>
    <w:rsid w:val="00A1194D"/>
    <w:rsid w:val="00A1686D"/>
    <w:rsid w:val="00A5517C"/>
    <w:rsid w:val="00A94DC9"/>
    <w:rsid w:val="00AA259E"/>
    <w:rsid w:val="00AC0F7B"/>
    <w:rsid w:val="00BE7F17"/>
    <w:rsid w:val="00C655D1"/>
    <w:rsid w:val="00C92D89"/>
    <w:rsid w:val="00CD1547"/>
    <w:rsid w:val="00CE120D"/>
    <w:rsid w:val="00D271A2"/>
    <w:rsid w:val="00ED0680"/>
    <w:rsid w:val="00F14A54"/>
    <w:rsid w:val="00F16615"/>
    <w:rsid w:val="00F323C7"/>
    <w:rsid w:val="00F90A71"/>
    <w:rsid w:val="00FC42FA"/>
    <w:rsid w:val="00FD5B5F"/>
    <w:rsid w:val="00FF4DE1"/>
    <w:rsid w:val="61AB581C"/>
    <w:rsid w:val="63AE7C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qFormat="1" w:unhideWhenUsed="0" w:uiPriority="99" w:semiHidden="0" w:name="No Spacing"/>
    <w:lsdException w:qFormat="1" w:unhideWhenUsed="0" w:uiPriority="34" w:semiHidden="0" w:name="List Paragraph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uk-UA" w:eastAsia="en-US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alloon Text"/>
    <w:basedOn w:val="1"/>
    <w:link w:val="15"/>
    <w:semiHidden/>
    <w:unhideWhenUsed/>
    <w:qFormat/>
    <w:uiPriority w:val="99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5">
    <w:name w:val="Normal (Web)"/>
    <w:link w:val="8"/>
    <w:semiHidden/>
    <w:unhideWhenUsed/>
    <w:qFormat/>
    <w:uiPriority w:val="99"/>
    <w:pPr>
      <w:spacing w:after="200" w:line="276" w:lineRule="auto"/>
      <w:ind w:left="720"/>
      <w:contextualSpacing/>
    </w:pPr>
    <w:rPr>
      <w:rFonts w:ascii="Times New Roman" w:hAnsi="Times New Roman" w:eastAsia="Times New Roman" w:cs="Times New Roman"/>
      <w:sz w:val="24"/>
      <w:szCs w:val="24"/>
      <w:lang w:val="uk-UA" w:eastAsia="uk-UA" w:bidi="ar-SA"/>
    </w:rPr>
  </w:style>
  <w:style w:type="table" w:styleId="6">
    <w:name w:val="Table Grid"/>
    <w:basedOn w:val="3"/>
    <w:uiPriority w:val="3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7">
    <w:name w:val="rvps2"/>
    <w:basedOn w:val="1"/>
    <w:qFormat/>
    <w:uiPriority w:val="99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uk-UA"/>
    </w:rPr>
  </w:style>
  <w:style w:type="character" w:customStyle="1" w:styleId="8">
    <w:name w:val="Звичайний (веб) Знак"/>
    <w:link w:val="5"/>
    <w:semiHidden/>
    <w:qFormat/>
    <w:locked/>
    <w:uiPriority w:val="99"/>
    <w:rPr>
      <w:rFonts w:ascii="Times New Roman" w:hAnsi="Times New Roman" w:eastAsia="Times New Roman" w:cs="Times New Roman"/>
      <w:sz w:val="24"/>
      <w:szCs w:val="24"/>
      <w:lang w:eastAsia="uk-UA"/>
    </w:rPr>
  </w:style>
  <w:style w:type="character" w:customStyle="1" w:styleId="9">
    <w:name w:val="rvts9"/>
    <w:basedOn w:val="2"/>
    <w:qFormat/>
    <w:uiPriority w:val="0"/>
  </w:style>
  <w:style w:type="character" w:customStyle="1" w:styleId="10">
    <w:name w:val="Заголовок №1_"/>
    <w:basedOn w:val="2"/>
    <w:link w:val="11"/>
    <w:uiPriority w:val="0"/>
    <w:rPr>
      <w:rFonts w:ascii="Times New Roman" w:hAnsi="Times New Roman" w:eastAsia="Times New Roman" w:cs="Times New Roman"/>
      <w:b/>
      <w:bCs/>
      <w:sz w:val="28"/>
      <w:szCs w:val="28"/>
    </w:rPr>
  </w:style>
  <w:style w:type="paragraph" w:customStyle="1" w:styleId="11">
    <w:name w:val="Заголовок №1"/>
    <w:basedOn w:val="1"/>
    <w:link w:val="10"/>
    <w:qFormat/>
    <w:uiPriority w:val="0"/>
    <w:pPr>
      <w:widowControl w:val="0"/>
      <w:spacing w:after="520" w:line="240" w:lineRule="auto"/>
      <w:ind w:left="280"/>
      <w:outlineLvl w:val="0"/>
    </w:pPr>
    <w:rPr>
      <w:rFonts w:ascii="Times New Roman" w:hAnsi="Times New Roman" w:eastAsia="Times New Roman" w:cs="Times New Roman"/>
      <w:b/>
      <w:bCs/>
      <w:sz w:val="28"/>
      <w:szCs w:val="28"/>
    </w:rPr>
  </w:style>
  <w:style w:type="character" w:customStyle="1" w:styleId="12">
    <w:name w:val="Основний текст_"/>
    <w:basedOn w:val="2"/>
    <w:link w:val="13"/>
    <w:qFormat/>
    <w:uiPriority w:val="0"/>
    <w:rPr>
      <w:rFonts w:ascii="Times New Roman" w:hAnsi="Times New Roman" w:eastAsia="Times New Roman" w:cs="Times New Roman"/>
      <w:sz w:val="28"/>
      <w:szCs w:val="28"/>
    </w:rPr>
  </w:style>
  <w:style w:type="paragraph" w:customStyle="1" w:styleId="13">
    <w:name w:val="Основний текст1"/>
    <w:basedOn w:val="1"/>
    <w:link w:val="12"/>
    <w:qFormat/>
    <w:uiPriority w:val="0"/>
    <w:pPr>
      <w:widowControl w:val="0"/>
      <w:spacing w:after="280" w:line="240" w:lineRule="auto"/>
      <w:ind w:firstLine="400"/>
    </w:pPr>
    <w:rPr>
      <w:rFonts w:ascii="Times New Roman" w:hAnsi="Times New Roman" w:eastAsia="Times New Roman" w:cs="Times New Roman"/>
      <w:sz w:val="28"/>
      <w:szCs w:val="28"/>
    </w:rPr>
  </w:style>
  <w:style w:type="paragraph" w:styleId="14">
    <w:name w:val="List Paragraph"/>
    <w:basedOn w:val="1"/>
    <w:qFormat/>
    <w:uiPriority w:val="34"/>
    <w:pPr>
      <w:spacing w:after="160" w:line="259" w:lineRule="auto"/>
      <w:ind w:left="720"/>
      <w:contextualSpacing/>
    </w:pPr>
  </w:style>
  <w:style w:type="character" w:customStyle="1" w:styleId="15">
    <w:name w:val="Текст у виносці Знак"/>
    <w:basedOn w:val="2"/>
    <w:link w:val="4"/>
    <w:semiHidden/>
    <w:uiPriority w:val="99"/>
    <w:rPr>
      <w:rFonts w:ascii="Segoe UI" w:hAnsi="Segoe UI" w:cs="Segoe UI"/>
      <w:sz w:val="18"/>
      <w:szCs w:val="18"/>
      <w:lang w:val="uk-UA"/>
    </w:rPr>
  </w:style>
  <w:style w:type="paragraph" w:styleId="16">
    <w:name w:val="No Spacing"/>
    <w:qFormat/>
    <w:uiPriority w:val="99"/>
    <w:pPr>
      <w:spacing w:after="0" w:line="240" w:lineRule="auto"/>
    </w:pPr>
    <w:rPr>
      <w:rFonts w:ascii="Calibri" w:hAnsi="Calibri" w:eastAsia="Calibri" w:cs="Times New Roman"/>
      <w:sz w:val="22"/>
      <w:szCs w:val="22"/>
      <w:lang w:val="uk-UA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SPecialiST RePack</Company>
  <Pages>9</Pages>
  <Words>11317</Words>
  <Characters>6452</Characters>
  <Lines>53</Lines>
  <Paragraphs>35</Paragraphs>
  <TotalTime>201</TotalTime>
  <ScaleCrop>false</ScaleCrop>
  <LinksUpToDate>false</LinksUpToDate>
  <CharactersWithSpaces>17734</CharactersWithSpaces>
  <Application>WPS Office_12.2.0.20795_F1E327BC-269C-435d-A152-05C5408002CA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2025-05-01T05:10:00Z</dcterms:created>
  <dc:creator>Пользователь Windows</dc:creator>
  <cp:lastModifiedBy>Галина Шкареда</cp:lastModifiedBy>
  <cp:lastPrinted>2025-05-02T05:20:00Z</cp:lastPrinted>
  <dcterms:modified xsi:type="dcterms:W3CDTF">2025-05-13T10:33:02Z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1049-12.2.0.20795</vt:lpwstr>
  </property>
  <property fmtid="{D5CDD505-2E9C-101B-9397-08002B2CF9AE}" pid="3" name="ICV">
    <vt:lpwstr>C5D24647E8B84B68963461DB807F732F_13</vt:lpwstr>
  </property>
</Properties>
</file>