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2E2A">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0E94F7DF">
      <w:pPr>
        <w:jc w:val="center"/>
        <w:rPr>
          <w:b/>
          <w:sz w:val="28"/>
          <w:szCs w:val="28"/>
          <w:lang w:val="ru-RU"/>
        </w:rPr>
      </w:pPr>
      <w:r>
        <w:rPr>
          <w:b/>
          <w:sz w:val="28"/>
          <w:szCs w:val="28"/>
          <w:lang w:val="ru-RU"/>
        </w:rPr>
        <w:t xml:space="preserve">                                 </w:t>
      </w:r>
    </w:p>
    <w:p w14:paraId="03F5EE2C">
      <w:pPr>
        <w:shd w:val="clear" w:color="auto" w:fill="FFFFFF"/>
        <w:jc w:val="center"/>
        <w:rPr>
          <w:rStyle w:val="4"/>
          <w:sz w:val="26"/>
          <w:szCs w:val="26"/>
        </w:rPr>
      </w:pPr>
      <w:r>
        <w:rPr>
          <w:rStyle w:val="4"/>
          <w:sz w:val="26"/>
          <w:szCs w:val="26"/>
        </w:rPr>
        <w:t>ВИКОНАВЧИЙ КОМІТЕТ</w:t>
      </w:r>
    </w:p>
    <w:p w14:paraId="0CBEBE64">
      <w:pPr>
        <w:shd w:val="clear" w:color="auto" w:fill="FFFFFF"/>
        <w:jc w:val="center"/>
        <w:rPr>
          <w:rStyle w:val="4"/>
          <w:sz w:val="28"/>
          <w:szCs w:val="28"/>
        </w:rPr>
      </w:pPr>
      <w:r>
        <w:rPr>
          <w:rStyle w:val="4"/>
          <w:sz w:val="28"/>
          <w:szCs w:val="28"/>
        </w:rPr>
        <w:t>ПОПІВСЬКА СІЛЬСЬКА РАДА</w:t>
      </w:r>
    </w:p>
    <w:p w14:paraId="0C9AC2D8">
      <w:pPr>
        <w:shd w:val="clear" w:color="auto" w:fill="FFFFFF"/>
        <w:jc w:val="center"/>
        <w:rPr>
          <w:rStyle w:val="4"/>
          <w:sz w:val="28"/>
          <w:szCs w:val="28"/>
        </w:rPr>
      </w:pPr>
      <w:r>
        <w:rPr>
          <w:rStyle w:val="4"/>
          <w:sz w:val="28"/>
          <w:szCs w:val="28"/>
        </w:rPr>
        <w:t>КОНОТОПСЬКОГО РАЙОНУ СУМСЬКОЇ ОБЛАСТІ</w:t>
      </w:r>
    </w:p>
    <w:p w14:paraId="28319B02">
      <w:pPr>
        <w:shd w:val="clear" w:color="auto" w:fill="FFFFFF"/>
        <w:jc w:val="center"/>
        <w:rPr>
          <w:rStyle w:val="4"/>
          <w:sz w:val="28"/>
          <w:szCs w:val="28"/>
        </w:rPr>
      </w:pPr>
      <w:r>
        <w:rPr>
          <w:rStyle w:val="4"/>
          <w:sz w:val="28"/>
          <w:szCs w:val="28"/>
        </w:rPr>
        <w:t xml:space="preserve"> </w:t>
      </w:r>
    </w:p>
    <w:p w14:paraId="12145A98">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135</w:t>
      </w:r>
    </w:p>
    <w:p w14:paraId="31E43BE8">
      <w:pPr>
        <w:shd w:val="clear" w:color="auto" w:fill="FFFFFF"/>
        <w:jc w:val="center"/>
        <w:rPr>
          <w:sz w:val="28"/>
          <w:szCs w:val="28"/>
        </w:rPr>
      </w:pPr>
    </w:p>
    <w:p w14:paraId="1BDB0016">
      <w:pPr>
        <w:rPr>
          <w:sz w:val="28"/>
          <w:szCs w:val="28"/>
        </w:rPr>
      </w:pPr>
      <w:r>
        <w:rPr>
          <w:b/>
          <w:sz w:val="28"/>
          <w:szCs w:val="28"/>
        </w:rPr>
        <w:t>05.05.2025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3B9F0670">
      <w:pPr>
        <w:jc w:val="both"/>
        <w:textAlignment w:val="baseline"/>
        <w:rPr>
          <w:sz w:val="28"/>
          <w:szCs w:val="28"/>
        </w:rPr>
      </w:pPr>
    </w:p>
    <w:p w14:paraId="0A6331EE">
      <w:pPr>
        <w:ind w:firstLine="708"/>
        <w:jc w:val="both"/>
        <w:rPr>
          <w:b/>
          <w:sz w:val="28"/>
          <w:szCs w:val="28"/>
          <w:lang w:eastAsia="uk-UA"/>
        </w:rPr>
      </w:pPr>
      <w:r>
        <w:rPr>
          <w:b/>
          <w:sz w:val="28"/>
          <w:szCs w:val="28"/>
        </w:rPr>
        <w:t>Про</w:t>
      </w:r>
      <w:r>
        <w:rPr>
          <w:b/>
          <w:sz w:val="28"/>
          <w:szCs w:val="28"/>
          <w:lang w:eastAsia="uk-UA"/>
        </w:rPr>
        <w:t xml:space="preserve"> утворення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затвердження порядку роботи цієї комісії</w:t>
      </w:r>
    </w:p>
    <w:p w14:paraId="5A55E0FF">
      <w:pPr>
        <w:ind w:firstLine="708"/>
        <w:jc w:val="both"/>
        <w:rPr>
          <w:sz w:val="28"/>
          <w:szCs w:val="28"/>
        </w:rPr>
      </w:pPr>
    </w:p>
    <w:p w14:paraId="1A7F1BCE">
      <w:pPr>
        <w:ind w:right="-142" w:firstLine="708"/>
        <w:jc w:val="both"/>
        <w:rPr>
          <w:sz w:val="28"/>
          <w:szCs w:val="28"/>
        </w:rPr>
      </w:pPr>
      <w:r>
        <w:rPr>
          <w:sz w:val="28"/>
          <w:szCs w:val="28"/>
        </w:rPr>
        <w:t xml:space="preserve">Відповідно до Указу  Президента України від 24.02.2022 р. № 64/2022 «Про введення воєнного стану в Україні» (зі змінами), затвердженими Законами України, в Україні введено воєнний стан з 24.02.2022 року, у зв`язку з агресією російської федерації проти України, статті 19 Кодексу цивільного захисту України,  з метою фіксації пошкоджень та наслідків руйнувань на території Попівської сільської ради, керуючись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(зі змінами), затвердженим Постановою Кабінету Міністрів №473 від 19.04.2022, </w:t>
      </w:r>
      <w:r>
        <w:rPr>
          <w:sz w:val="28"/>
          <w:szCs w:val="28"/>
          <w:lang w:eastAsia="uk-UA"/>
        </w:rPr>
        <w:t>статями 40, 52, 59 Закону України  «Про місцеве самоврядування в Україні»</w:t>
      </w:r>
      <w:r>
        <w:rPr>
          <w:sz w:val="28"/>
          <w:szCs w:val="28"/>
        </w:rPr>
        <w:t>,</w:t>
      </w:r>
    </w:p>
    <w:p w14:paraId="195A64FC">
      <w:pPr>
        <w:ind w:firstLine="709"/>
        <w:jc w:val="both"/>
        <w:rPr>
          <w:sz w:val="28"/>
          <w:szCs w:val="28"/>
        </w:rPr>
      </w:pPr>
      <w:r>
        <w:rPr>
          <w:sz w:val="28"/>
          <w:szCs w:val="28"/>
        </w:rPr>
        <w:t>виконавчий комітет вирішив:</w:t>
      </w:r>
    </w:p>
    <w:p w14:paraId="3BE0E566">
      <w:pPr>
        <w:ind w:firstLine="709"/>
        <w:jc w:val="both"/>
        <w:rPr>
          <w:sz w:val="28"/>
          <w:szCs w:val="28"/>
          <w:lang w:eastAsia="uk-UA"/>
        </w:rPr>
      </w:pPr>
      <w:r>
        <w:rPr>
          <w:sz w:val="28"/>
          <w:szCs w:val="28"/>
          <w:lang w:eastAsia="uk-UA"/>
        </w:rPr>
        <w:t>1.Утворити  комісію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та затвердити її  персональний склад (Додаток 1).</w:t>
      </w:r>
    </w:p>
    <w:p w14:paraId="3DCD4954">
      <w:pPr>
        <w:ind w:firstLine="709"/>
        <w:jc w:val="both"/>
        <w:rPr>
          <w:sz w:val="28"/>
          <w:szCs w:val="28"/>
          <w:lang w:eastAsia="uk-UA"/>
        </w:rPr>
      </w:pPr>
      <w:r>
        <w:rPr>
          <w:sz w:val="28"/>
          <w:szCs w:val="28"/>
          <w:lang w:eastAsia="uk-UA"/>
        </w:rPr>
        <w:t>2.Затвердити   Порядок про роботу 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(Додаток 2).</w:t>
      </w:r>
    </w:p>
    <w:p w14:paraId="0782FC1A">
      <w:pPr>
        <w:ind w:firstLine="709"/>
        <w:jc w:val="both"/>
        <w:rPr>
          <w:sz w:val="28"/>
          <w:szCs w:val="28"/>
        </w:rPr>
      </w:pPr>
      <w:r>
        <w:rPr>
          <w:sz w:val="28"/>
          <w:szCs w:val="28"/>
          <w:lang w:eastAsia="uk-UA"/>
        </w:rPr>
        <w:t>3.</w:t>
      </w:r>
      <w:r>
        <w:rPr>
          <w:sz w:val="28"/>
          <w:szCs w:val="28"/>
        </w:rPr>
        <w:t xml:space="preserve">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70E2A17">
      <w:pPr>
        <w:ind w:right="-142"/>
        <w:jc w:val="both"/>
        <w:rPr>
          <w:sz w:val="28"/>
          <w:szCs w:val="28"/>
        </w:rPr>
      </w:pPr>
    </w:p>
    <w:p w14:paraId="05719A7D">
      <w:pPr>
        <w:ind w:right="-142"/>
        <w:jc w:val="both"/>
        <w:rPr>
          <w:sz w:val="28"/>
          <w:szCs w:val="28"/>
        </w:rPr>
      </w:pPr>
    </w:p>
    <w:p w14:paraId="724050A0">
      <w:pPr>
        <w:tabs>
          <w:tab w:val="left" w:pos="7365"/>
        </w:tabs>
        <w:ind w:right="-142"/>
        <w:rPr>
          <w:b/>
        </w:rPr>
      </w:pPr>
      <w:r>
        <w:rPr>
          <w:b/>
          <w:sz w:val="28"/>
          <w:szCs w:val="28"/>
        </w:rPr>
        <w:t>Сільський голова                                                              Анатолій БОЯРЧУК</w:t>
      </w:r>
    </w:p>
    <w:p w14:paraId="056DF272"/>
    <w:p w14:paraId="65FABAD5"/>
    <w:p w14:paraId="5EDE58CA"/>
    <w:p w14:paraId="13012E4E"/>
    <w:p w14:paraId="2F5A0F8C">
      <w:r>
        <w:t>Тетяна МІЩЕНКО</w:t>
      </w:r>
    </w:p>
    <w:p w14:paraId="7B60CC62">
      <w:pPr>
        <w:tabs>
          <w:tab w:val="center" w:pos="4749"/>
        </w:tabs>
      </w:pPr>
      <w:r>
        <w:t>Надіслано : до протоколу-1, членам комісії по 1.</w:t>
      </w:r>
      <w:r>
        <w:tab/>
      </w:r>
    </w:p>
    <w:p w14:paraId="2E8E2EC0">
      <w:pPr>
        <w:tabs>
          <w:tab w:val="center" w:pos="4749"/>
        </w:tabs>
      </w:pPr>
    </w:p>
    <w:p w14:paraId="7A4FF0F2">
      <w:pPr>
        <w:tabs>
          <w:tab w:val="center" w:pos="4749"/>
        </w:tabs>
      </w:pPr>
      <w:bookmarkStart w:id="0" w:name="_GoBack"/>
      <w:bookmarkEnd w:id="0"/>
    </w:p>
    <w:p w14:paraId="5E48ECA1">
      <w:pPr>
        <w:tabs>
          <w:tab w:val="center" w:pos="4749"/>
        </w:tabs>
      </w:pPr>
    </w:p>
    <w:p w14:paraId="0AD7B02F">
      <w:pPr>
        <w:tabs>
          <w:tab w:val="center" w:pos="4749"/>
        </w:tabs>
      </w:pPr>
    </w:p>
    <w:p w14:paraId="6E1AFA39">
      <w:pPr>
        <w:widowControl w:val="0"/>
        <w:ind w:right="428"/>
        <w:rPr>
          <w:sz w:val="28"/>
          <w:szCs w:val="28"/>
          <w:lang w:val="ru-RU"/>
        </w:rPr>
      </w:pPr>
      <w:r>
        <w:rPr>
          <w:lang w:val="ru-RU"/>
        </w:rPr>
        <w:t xml:space="preserve">        </w:t>
      </w:r>
      <w:r>
        <w:rPr>
          <w:sz w:val="28"/>
          <w:szCs w:val="28"/>
          <w:lang w:val="ru-RU"/>
        </w:rPr>
        <w:t xml:space="preserve">                                                                        Додаток 1</w:t>
      </w:r>
      <w:r>
        <w:rPr>
          <w:sz w:val="28"/>
          <w:szCs w:val="28"/>
          <w:lang w:val="uk-UA"/>
        </w:rPr>
        <w:t xml:space="preserve"> </w:t>
      </w:r>
      <w:r>
        <w:rPr>
          <w:sz w:val="28"/>
          <w:szCs w:val="28"/>
          <w:lang w:val="ru-RU"/>
        </w:rPr>
        <w:t xml:space="preserve">до </w:t>
      </w:r>
    </w:p>
    <w:p w14:paraId="376554C1">
      <w:pPr>
        <w:widowControl w:val="0"/>
        <w:tabs>
          <w:tab w:val="left" w:pos="4114"/>
        </w:tabs>
        <w:ind w:right="428"/>
        <w:jc w:val="center"/>
        <w:rPr>
          <w:sz w:val="28"/>
          <w:szCs w:val="28"/>
          <w:lang w:val="uk-UA"/>
        </w:rPr>
      </w:pPr>
      <w:r>
        <w:rPr>
          <w:sz w:val="28"/>
          <w:szCs w:val="28"/>
          <w:lang w:val="uk-UA"/>
        </w:rPr>
        <w:t xml:space="preserve">                                                                               </w:t>
      </w:r>
      <w:r>
        <w:rPr>
          <w:sz w:val="28"/>
          <w:szCs w:val="28"/>
          <w:lang w:val="ru-RU"/>
        </w:rPr>
        <w:t xml:space="preserve">рішення виконавчого </w:t>
      </w:r>
      <w:r>
        <w:rPr>
          <w:sz w:val="28"/>
          <w:szCs w:val="28"/>
          <w:lang w:val="uk-UA"/>
        </w:rPr>
        <w:t>к</w:t>
      </w:r>
      <w:r>
        <w:rPr>
          <w:sz w:val="28"/>
          <w:szCs w:val="28"/>
          <w:lang w:val="ru-RU"/>
        </w:rPr>
        <w:t xml:space="preserve">омітету </w:t>
      </w:r>
      <w:r>
        <w:rPr>
          <w:sz w:val="28"/>
          <w:szCs w:val="28"/>
          <w:lang w:val="uk-UA"/>
        </w:rPr>
        <w:t xml:space="preserve"> </w:t>
      </w:r>
    </w:p>
    <w:p w14:paraId="7C9515FC">
      <w:pPr>
        <w:widowControl w:val="0"/>
        <w:ind w:right="428"/>
        <w:rPr>
          <w:sz w:val="28"/>
          <w:szCs w:val="28"/>
          <w:u w:val="single"/>
          <w:lang w:val="uk-UA"/>
        </w:rPr>
      </w:pPr>
      <w:r>
        <w:rPr>
          <w:sz w:val="28"/>
          <w:szCs w:val="28"/>
          <w:lang w:val="uk-UA"/>
        </w:rPr>
        <w:t xml:space="preserve">                                                                               №</w:t>
      </w:r>
      <w:r>
        <w:rPr>
          <w:sz w:val="28"/>
          <w:szCs w:val="28"/>
          <w:lang w:val="ru-RU"/>
        </w:rPr>
        <w:t xml:space="preserve"> </w:t>
      </w:r>
      <w:r>
        <w:rPr>
          <w:rFonts w:hint="default"/>
          <w:sz w:val="28"/>
          <w:szCs w:val="28"/>
          <w:lang w:val="uk-UA"/>
        </w:rPr>
        <w:t>135</w:t>
      </w:r>
      <w:r>
        <w:rPr>
          <w:sz w:val="28"/>
          <w:szCs w:val="28"/>
          <w:lang w:val="ru-RU"/>
        </w:rPr>
        <w:t xml:space="preserve">  </w:t>
      </w:r>
      <w:r>
        <w:rPr>
          <w:sz w:val="28"/>
          <w:szCs w:val="28"/>
          <w:lang w:val="uk-UA"/>
        </w:rPr>
        <w:t>від 05.05.2025</w:t>
      </w:r>
    </w:p>
    <w:p w14:paraId="5B939B4A">
      <w:pPr>
        <w:tabs>
          <w:tab w:val="left" w:pos="7770"/>
        </w:tabs>
        <w:rPr>
          <w:sz w:val="28"/>
          <w:szCs w:val="28"/>
          <w:lang w:val="uk-UA"/>
        </w:rPr>
      </w:pPr>
      <w:r>
        <w:rPr>
          <w:sz w:val="28"/>
          <w:szCs w:val="28"/>
          <w:lang w:val="uk-UA"/>
        </w:rPr>
        <w:tab/>
      </w:r>
    </w:p>
    <w:p w14:paraId="678A2516">
      <w:pPr>
        <w:tabs>
          <w:tab w:val="left" w:pos="7770"/>
        </w:tabs>
        <w:rPr>
          <w:sz w:val="28"/>
          <w:szCs w:val="28"/>
          <w:lang w:val="uk-UA"/>
        </w:rPr>
      </w:pPr>
    </w:p>
    <w:p w14:paraId="1AD8739E">
      <w:pPr>
        <w:tabs>
          <w:tab w:val="left" w:pos="2730"/>
        </w:tabs>
        <w:jc w:val="center"/>
        <w:rPr>
          <w:b/>
          <w:sz w:val="28"/>
          <w:szCs w:val="28"/>
          <w:lang w:val="uk-UA"/>
        </w:rPr>
      </w:pPr>
      <w:r>
        <w:rPr>
          <w:b/>
          <w:sz w:val="28"/>
          <w:szCs w:val="28"/>
          <w:lang w:val="uk-UA"/>
        </w:rPr>
        <w:t>Склад</w:t>
      </w:r>
    </w:p>
    <w:p w14:paraId="73951DBE">
      <w:pPr>
        <w:tabs>
          <w:tab w:val="left" w:pos="2730"/>
        </w:tabs>
        <w:jc w:val="center"/>
        <w:rPr>
          <w:b/>
          <w:sz w:val="28"/>
          <w:szCs w:val="28"/>
          <w:lang w:val="uk-UA"/>
        </w:rPr>
      </w:pPr>
      <w:r>
        <w:rPr>
          <w:rFonts w:eastAsia="Cambria"/>
          <w:b/>
          <w:sz w:val="28"/>
          <w:szCs w:val="28"/>
          <w:lang w:val="uk-UA"/>
        </w:rPr>
        <w:t>комісії 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w:t>
      </w:r>
    </w:p>
    <w:p w14:paraId="3206C5E8">
      <w:pPr>
        <w:ind w:firstLine="567"/>
        <w:jc w:val="both"/>
        <w:rPr>
          <w:b/>
          <w:sz w:val="28"/>
          <w:szCs w:val="28"/>
          <w:lang w:val="uk-UA"/>
        </w:rPr>
      </w:pPr>
    </w:p>
    <w:p w14:paraId="1A783CE1">
      <w:pPr>
        <w:tabs>
          <w:tab w:val="left" w:pos="426"/>
        </w:tabs>
        <w:jc w:val="both"/>
        <w:rPr>
          <w:sz w:val="28"/>
          <w:szCs w:val="28"/>
          <w:lang w:val="uk-UA"/>
        </w:rPr>
      </w:pPr>
    </w:p>
    <w:tbl>
      <w:tblPr>
        <w:tblStyle w:val="3"/>
        <w:tblW w:w="10020" w:type="dxa"/>
        <w:tblInd w:w="-34" w:type="dxa"/>
        <w:tblLayout w:type="fixed"/>
        <w:tblCellMar>
          <w:top w:w="0" w:type="dxa"/>
          <w:left w:w="0" w:type="dxa"/>
          <w:bottom w:w="0" w:type="dxa"/>
          <w:right w:w="0" w:type="dxa"/>
        </w:tblCellMar>
      </w:tblPr>
      <w:tblGrid>
        <w:gridCol w:w="3083"/>
        <w:gridCol w:w="6698"/>
        <w:gridCol w:w="239"/>
      </w:tblGrid>
      <w:tr w14:paraId="1622D548">
        <w:tblPrEx>
          <w:tblCellMar>
            <w:top w:w="0" w:type="dxa"/>
            <w:left w:w="0" w:type="dxa"/>
            <w:bottom w:w="0" w:type="dxa"/>
            <w:right w:w="0" w:type="dxa"/>
          </w:tblCellMar>
        </w:tblPrEx>
        <w:trPr>
          <w:trHeight w:val="4536" w:hRule="atLeast"/>
        </w:trPr>
        <w:tc>
          <w:tcPr>
            <w:tcW w:w="3083" w:type="dxa"/>
            <w:noWrap w:val="0"/>
            <w:tcMar>
              <w:left w:w="108" w:type="dxa"/>
              <w:right w:w="108" w:type="dxa"/>
            </w:tcMar>
            <w:vAlign w:val="top"/>
          </w:tcPr>
          <w:p w14:paraId="142967F8">
            <w:pPr>
              <w:ind w:left="-142"/>
              <w:contextualSpacing/>
              <w:jc w:val="both"/>
              <w:rPr>
                <w:rFonts w:eastAsia="Calibri"/>
                <w:sz w:val="28"/>
                <w:szCs w:val="28"/>
                <w:lang w:val="uk-UA" w:eastAsia="ru-RU"/>
              </w:rPr>
            </w:pPr>
            <w:r>
              <w:rPr>
                <w:sz w:val="28"/>
                <w:szCs w:val="28"/>
                <w:lang w:val="uk-UA"/>
              </w:rPr>
              <w:t xml:space="preserve">  </w:t>
            </w:r>
            <w:r>
              <w:rPr>
                <w:rFonts w:eastAsia="Calibri"/>
                <w:sz w:val="28"/>
                <w:szCs w:val="28"/>
                <w:lang w:val="uk-UA" w:eastAsia="ru-RU"/>
              </w:rPr>
              <w:t>Голова комісії:</w:t>
            </w:r>
          </w:p>
          <w:p w14:paraId="3FCB5AFE">
            <w:pPr>
              <w:ind w:left="-142"/>
              <w:contextualSpacing/>
              <w:jc w:val="both"/>
              <w:rPr>
                <w:sz w:val="28"/>
                <w:szCs w:val="28"/>
                <w:lang w:val="ru-RU"/>
              </w:rPr>
            </w:pPr>
          </w:p>
          <w:p w14:paraId="102F33E8">
            <w:pPr>
              <w:contextualSpacing/>
              <w:jc w:val="both"/>
              <w:rPr>
                <w:sz w:val="28"/>
                <w:szCs w:val="28"/>
                <w:lang w:val="ru-RU"/>
              </w:rPr>
            </w:pPr>
            <w:r>
              <w:rPr>
                <w:rFonts w:eastAsia="Calibri"/>
                <w:sz w:val="28"/>
                <w:szCs w:val="28"/>
                <w:lang w:val="uk-UA"/>
              </w:rPr>
              <w:t>КЛІГУНОВА</w:t>
            </w:r>
          </w:p>
          <w:p w14:paraId="31E6E09D">
            <w:pPr>
              <w:contextualSpacing/>
              <w:jc w:val="both"/>
              <w:rPr>
                <w:sz w:val="28"/>
                <w:szCs w:val="28"/>
                <w:lang w:val="ru-RU"/>
              </w:rPr>
            </w:pPr>
            <w:r>
              <w:rPr>
                <w:rFonts w:eastAsia="Calibri"/>
                <w:sz w:val="28"/>
                <w:szCs w:val="28"/>
                <w:lang w:val="uk-UA"/>
              </w:rPr>
              <w:t>Ірина  Володимирівна</w:t>
            </w:r>
          </w:p>
          <w:p w14:paraId="0FF5E4AE">
            <w:pPr>
              <w:contextualSpacing/>
              <w:jc w:val="both"/>
              <w:rPr>
                <w:sz w:val="28"/>
                <w:szCs w:val="28"/>
                <w:lang w:val="ru-RU"/>
              </w:rPr>
            </w:pPr>
          </w:p>
          <w:p w14:paraId="779CB2F7">
            <w:pPr>
              <w:ind w:left="30"/>
              <w:contextualSpacing/>
              <w:jc w:val="both"/>
              <w:rPr>
                <w:rFonts w:eastAsia="Calibri"/>
                <w:sz w:val="28"/>
                <w:szCs w:val="28"/>
                <w:lang w:val="uk-UA" w:eastAsia="ru-RU"/>
              </w:rPr>
            </w:pPr>
          </w:p>
          <w:p w14:paraId="21AB4102">
            <w:pPr>
              <w:ind w:left="30"/>
              <w:contextualSpacing/>
              <w:jc w:val="both"/>
              <w:rPr>
                <w:rFonts w:eastAsia="Calibri"/>
                <w:sz w:val="28"/>
                <w:szCs w:val="28"/>
                <w:lang w:val="uk-UA" w:eastAsia="ru-RU"/>
              </w:rPr>
            </w:pPr>
            <w:r>
              <w:rPr>
                <w:rFonts w:eastAsia="Calibri"/>
                <w:sz w:val="28"/>
                <w:szCs w:val="28"/>
                <w:lang w:val="uk-UA" w:eastAsia="ru-RU"/>
              </w:rPr>
              <w:t>Заступник голови комісії:</w:t>
            </w:r>
          </w:p>
          <w:p w14:paraId="68DB79D7">
            <w:pPr>
              <w:ind w:left="30"/>
              <w:contextualSpacing/>
              <w:jc w:val="both"/>
              <w:rPr>
                <w:sz w:val="28"/>
                <w:szCs w:val="28"/>
                <w:lang w:val="ru-RU"/>
              </w:rPr>
            </w:pPr>
          </w:p>
          <w:p w14:paraId="42054E61">
            <w:pPr>
              <w:contextualSpacing/>
              <w:jc w:val="both"/>
              <w:rPr>
                <w:sz w:val="28"/>
                <w:szCs w:val="28"/>
                <w:lang w:val="ru-RU"/>
              </w:rPr>
            </w:pPr>
            <w:r>
              <w:rPr>
                <w:rFonts w:eastAsia="Calibri"/>
                <w:sz w:val="28"/>
                <w:szCs w:val="28"/>
                <w:lang w:val="uk-UA"/>
              </w:rPr>
              <w:t>ШЕРУДИЛО</w:t>
            </w:r>
          </w:p>
          <w:p w14:paraId="43D237D0">
            <w:pPr>
              <w:contextualSpacing/>
              <w:jc w:val="both"/>
              <w:rPr>
                <w:sz w:val="28"/>
                <w:szCs w:val="28"/>
                <w:lang w:val="ru-RU"/>
              </w:rPr>
            </w:pPr>
            <w:r>
              <w:rPr>
                <w:rFonts w:eastAsia="Calibri"/>
                <w:sz w:val="28"/>
                <w:szCs w:val="28"/>
                <w:lang w:val="uk-UA"/>
              </w:rPr>
              <w:t>Тетяна  Миколаївна</w:t>
            </w:r>
          </w:p>
          <w:p w14:paraId="1FBAE9F9">
            <w:pPr>
              <w:rPr>
                <w:rFonts w:eastAsia="Calibri"/>
                <w:sz w:val="28"/>
                <w:szCs w:val="28"/>
                <w:lang w:val="uk-UA"/>
              </w:rPr>
            </w:pPr>
          </w:p>
          <w:p w14:paraId="026CD41F">
            <w:pPr>
              <w:rPr>
                <w:sz w:val="28"/>
                <w:szCs w:val="28"/>
                <w:lang w:val="ru-RU"/>
              </w:rPr>
            </w:pPr>
            <w:r>
              <w:rPr>
                <w:rFonts w:eastAsia="Calibri"/>
                <w:sz w:val="28"/>
                <w:szCs w:val="28"/>
                <w:lang w:val="uk-UA"/>
              </w:rPr>
              <w:t xml:space="preserve">Члени комісії:                               </w:t>
            </w:r>
          </w:p>
          <w:p w14:paraId="059361E6">
            <w:pPr>
              <w:rPr>
                <w:rFonts w:eastAsia="Calibri"/>
                <w:sz w:val="28"/>
                <w:szCs w:val="28"/>
                <w:lang w:val="uk-UA"/>
              </w:rPr>
            </w:pPr>
          </w:p>
          <w:p w14:paraId="3DDE270A">
            <w:pPr>
              <w:rPr>
                <w:sz w:val="28"/>
                <w:szCs w:val="28"/>
                <w:lang w:val="ru-RU"/>
              </w:rPr>
            </w:pPr>
            <w:r>
              <w:rPr>
                <w:rFonts w:eastAsia="Calibri"/>
                <w:sz w:val="28"/>
                <w:szCs w:val="28"/>
                <w:lang w:val="uk-UA"/>
              </w:rPr>
              <w:t xml:space="preserve">МІЩЕНКО Тетяна Олексіївна </w:t>
            </w:r>
          </w:p>
          <w:p w14:paraId="68087520">
            <w:pPr>
              <w:rPr>
                <w:rFonts w:eastAsia="Calibri"/>
                <w:sz w:val="28"/>
                <w:szCs w:val="28"/>
                <w:lang w:val="uk-UA"/>
              </w:rPr>
            </w:pPr>
          </w:p>
          <w:p w14:paraId="46D535F4">
            <w:pPr>
              <w:rPr>
                <w:rFonts w:eastAsia="Calibri"/>
                <w:sz w:val="28"/>
                <w:szCs w:val="28"/>
                <w:lang w:val="uk-UA"/>
              </w:rPr>
            </w:pPr>
          </w:p>
          <w:p w14:paraId="40DD534A">
            <w:pPr>
              <w:rPr>
                <w:rFonts w:eastAsia="Calibri"/>
                <w:sz w:val="28"/>
                <w:szCs w:val="28"/>
                <w:lang w:val="uk-UA"/>
              </w:rPr>
            </w:pPr>
          </w:p>
          <w:p w14:paraId="66A0C8AE">
            <w:pPr>
              <w:rPr>
                <w:rFonts w:eastAsia="Calibri"/>
                <w:sz w:val="28"/>
                <w:szCs w:val="28"/>
                <w:lang w:val="uk-UA"/>
              </w:rPr>
            </w:pPr>
            <w:r>
              <w:rPr>
                <w:rFonts w:eastAsia="Calibri"/>
                <w:sz w:val="28"/>
                <w:szCs w:val="28"/>
                <w:lang w:val="uk-UA"/>
              </w:rPr>
              <w:t xml:space="preserve">ДОВГАЛЬ Наталія   Іванівна  </w:t>
            </w:r>
          </w:p>
          <w:p w14:paraId="2136B625">
            <w:pPr>
              <w:rPr>
                <w:sz w:val="28"/>
                <w:szCs w:val="28"/>
                <w:lang w:val="ru-RU"/>
              </w:rPr>
            </w:pPr>
          </w:p>
          <w:p w14:paraId="1F4E9765">
            <w:pPr>
              <w:rPr>
                <w:sz w:val="28"/>
                <w:szCs w:val="28"/>
                <w:lang w:val="ru-RU"/>
              </w:rPr>
            </w:pPr>
          </w:p>
          <w:p w14:paraId="42D52107">
            <w:pPr>
              <w:rPr>
                <w:sz w:val="28"/>
                <w:szCs w:val="28"/>
                <w:lang w:val="ru-RU"/>
              </w:rPr>
            </w:pPr>
          </w:p>
        </w:tc>
        <w:tc>
          <w:tcPr>
            <w:tcW w:w="6698" w:type="dxa"/>
            <w:noWrap w:val="0"/>
            <w:tcMar>
              <w:left w:w="108" w:type="dxa"/>
              <w:right w:w="108" w:type="dxa"/>
            </w:tcMar>
            <w:vAlign w:val="top"/>
          </w:tcPr>
          <w:p w14:paraId="3849F5BD">
            <w:pPr>
              <w:tabs>
                <w:tab w:val="left" w:pos="3045"/>
              </w:tabs>
              <w:snapToGrid w:val="0"/>
              <w:ind w:right="-114"/>
              <w:jc w:val="both"/>
              <w:rPr>
                <w:rFonts w:eastAsia="Calibri"/>
                <w:sz w:val="28"/>
                <w:szCs w:val="28"/>
                <w:lang w:val="uk-UA" w:eastAsia="ru-RU"/>
              </w:rPr>
            </w:pPr>
          </w:p>
          <w:p w14:paraId="4C79F74C">
            <w:pPr>
              <w:tabs>
                <w:tab w:val="left" w:pos="3045"/>
              </w:tabs>
              <w:ind w:right="-114"/>
              <w:jc w:val="both"/>
              <w:rPr>
                <w:rFonts w:eastAsia="Calibri"/>
                <w:sz w:val="28"/>
                <w:szCs w:val="28"/>
                <w:lang w:val="uk-UA" w:eastAsia="ru-RU"/>
              </w:rPr>
            </w:pPr>
          </w:p>
          <w:p w14:paraId="6634AE99">
            <w:pPr>
              <w:tabs>
                <w:tab w:val="left" w:pos="3045"/>
              </w:tabs>
              <w:ind w:right="-114"/>
              <w:jc w:val="both"/>
              <w:rPr>
                <w:sz w:val="28"/>
                <w:szCs w:val="28"/>
                <w:lang w:val="uk-UA"/>
              </w:rPr>
            </w:pPr>
            <w:r>
              <w:rPr>
                <w:rFonts w:eastAsia="Calibri"/>
                <w:sz w:val="28"/>
                <w:szCs w:val="28"/>
                <w:lang w:val="uk-UA" w:eastAsia="ru-RU"/>
              </w:rPr>
              <w:t>- заступник сільського голови з питань діяльності виконавчих органів Попівської сільської ради Конотопського району Сумської області;</w:t>
            </w:r>
          </w:p>
          <w:p w14:paraId="62A9BA83">
            <w:pPr>
              <w:tabs>
                <w:tab w:val="left" w:pos="3045"/>
              </w:tabs>
              <w:ind w:right="-114"/>
              <w:jc w:val="both"/>
              <w:rPr>
                <w:rFonts w:eastAsia="Calibri"/>
                <w:sz w:val="28"/>
                <w:szCs w:val="28"/>
                <w:lang w:val="uk-UA" w:eastAsia="ru-RU"/>
              </w:rPr>
            </w:pPr>
          </w:p>
          <w:p w14:paraId="59CEF2E8">
            <w:pPr>
              <w:tabs>
                <w:tab w:val="left" w:pos="3045"/>
              </w:tabs>
              <w:ind w:right="-114"/>
              <w:jc w:val="both"/>
              <w:rPr>
                <w:rFonts w:eastAsia="Calibri"/>
                <w:sz w:val="28"/>
                <w:szCs w:val="28"/>
                <w:lang w:val="uk-UA" w:eastAsia="ru-RU"/>
              </w:rPr>
            </w:pPr>
          </w:p>
          <w:p w14:paraId="1761A1DC">
            <w:pPr>
              <w:tabs>
                <w:tab w:val="left" w:pos="3045"/>
              </w:tabs>
              <w:ind w:right="-114"/>
              <w:jc w:val="both"/>
              <w:rPr>
                <w:rFonts w:eastAsia="Calibri"/>
                <w:sz w:val="28"/>
                <w:szCs w:val="28"/>
                <w:lang w:val="uk-UA" w:eastAsia="ru-RU"/>
              </w:rPr>
            </w:pPr>
          </w:p>
          <w:p w14:paraId="70A08352">
            <w:pPr>
              <w:tabs>
                <w:tab w:val="left" w:pos="3045"/>
              </w:tabs>
              <w:ind w:right="-114"/>
              <w:jc w:val="both"/>
              <w:rPr>
                <w:rFonts w:eastAsia="Calibri"/>
                <w:sz w:val="28"/>
                <w:szCs w:val="28"/>
                <w:lang w:val="uk-UA" w:eastAsia="ru-RU"/>
              </w:rPr>
            </w:pPr>
          </w:p>
          <w:p w14:paraId="1A772454">
            <w:pPr>
              <w:tabs>
                <w:tab w:val="left" w:pos="3045"/>
              </w:tabs>
              <w:ind w:right="-114"/>
              <w:jc w:val="both"/>
              <w:rPr>
                <w:sz w:val="28"/>
                <w:szCs w:val="28"/>
                <w:lang w:val="uk-UA"/>
              </w:rPr>
            </w:pPr>
            <w:r>
              <w:rPr>
                <w:rFonts w:eastAsia="Calibri"/>
                <w:sz w:val="28"/>
                <w:szCs w:val="28"/>
                <w:lang w:val="uk-UA" w:eastAsia="ru-RU"/>
              </w:rPr>
              <w:t>- заступник сільського голови з питань діяльності виконавчих органів Попівської сільської ради Конотопського району Сумської області;</w:t>
            </w:r>
          </w:p>
          <w:p w14:paraId="0B16F16A">
            <w:pPr>
              <w:tabs>
                <w:tab w:val="left" w:pos="3045"/>
              </w:tabs>
              <w:ind w:right="-114"/>
              <w:jc w:val="both"/>
              <w:rPr>
                <w:rFonts w:eastAsia="Calibri"/>
                <w:sz w:val="28"/>
                <w:szCs w:val="28"/>
                <w:lang w:val="uk-UA" w:eastAsia="ru-RU"/>
              </w:rPr>
            </w:pPr>
          </w:p>
          <w:p w14:paraId="1E5CAF14">
            <w:pPr>
              <w:tabs>
                <w:tab w:val="left" w:pos="3045"/>
              </w:tabs>
              <w:ind w:right="-114"/>
              <w:jc w:val="both"/>
              <w:rPr>
                <w:rFonts w:eastAsia="Calibri"/>
                <w:sz w:val="28"/>
                <w:szCs w:val="28"/>
                <w:lang w:val="uk-UA" w:eastAsia="ru-RU"/>
              </w:rPr>
            </w:pPr>
          </w:p>
          <w:p w14:paraId="7523CEEF">
            <w:pPr>
              <w:tabs>
                <w:tab w:val="left" w:pos="3045"/>
              </w:tabs>
              <w:ind w:right="-114"/>
              <w:jc w:val="both"/>
              <w:rPr>
                <w:rFonts w:eastAsia="Calibri"/>
                <w:sz w:val="28"/>
                <w:szCs w:val="28"/>
                <w:lang w:val="uk-UA" w:eastAsia="ru-RU"/>
              </w:rPr>
            </w:pPr>
            <w:r>
              <w:rPr>
                <w:rFonts w:eastAsia="Calibri"/>
                <w:sz w:val="28"/>
                <w:szCs w:val="28"/>
                <w:lang w:val="uk-UA" w:eastAsia="ru-RU"/>
              </w:rPr>
              <w:t>- начальник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p w14:paraId="1D986F20">
            <w:pPr>
              <w:tabs>
                <w:tab w:val="left" w:pos="3045"/>
              </w:tabs>
              <w:ind w:right="-114"/>
              <w:jc w:val="both"/>
              <w:rPr>
                <w:sz w:val="28"/>
                <w:szCs w:val="28"/>
                <w:lang w:val="ru-RU"/>
              </w:rPr>
            </w:pPr>
          </w:p>
          <w:p w14:paraId="215BC238">
            <w:pPr>
              <w:tabs>
                <w:tab w:val="left" w:pos="3045"/>
              </w:tabs>
              <w:ind w:right="-114"/>
              <w:jc w:val="both"/>
              <w:rPr>
                <w:sz w:val="28"/>
                <w:szCs w:val="28"/>
                <w:lang w:val="ru-RU"/>
              </w:rPr>
            </w:pPr>
            <w:r>
              <w:rPr>
                <w:rFonts w:eastAsia="Calibri"/>
                <w:sz w:val="28"/>
                <w:szCs w:val="28"/>
                <w:lang w:val="uk-UA" w:eastAsia="ru-RU"/>
              </w:rPr>
              <w:t>- провідний спеціаліст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p>
        </w:tc>
        <w:tc>
          <w:tcPr>
            <w:tcW w:w="239" w:type="dxa"/>
            <w:noWrap w:val="0"/>
            <w:vAlign w:val="top"/>
          </w:tcPr>
          <w:p w14:paraId="4982E8A7">
            <w:pPr>
              <w:snapToGrid w:val="0"/>
              <w:rPr>
                <w:rFonts w:eastAsia="Calibri"/>
                <w:sz w:val="28"/>
                <w:szCs w:val="28"/>
                <w:lang w:val="uk-UA" w:eastAsia="ru-RU"/>
              </w:rPr>
            </w:pPr>
          </w:p>
        </w:tc>
      </w:tr>
      <w:tr w14:paraId="29BCB7B2">
        <w:tblPrEx>
          <w:tblCellMar>
            <w:top w:w="0" w:type="dxa"/>
            <w:left w:w="0" w:type="dxa"/>
            <w:bottom w:w="0" w:type="dxa"/>
            <w:right w:w="0" w:type="dxa"/>
          </w:tblCellMar>
        </w:tblPrEx>
        <w:trPr>
          <w:trHeight w:val="24" w:hRule="atLeast"/>
        </w:trPr>
        <w:tc>
          <w:tcPr>
            <w:tcW w:w="3083" w:type="dxa"/>
            <w:noWrap w:val="0"/>
            <w:tcMar>
              <w:left w:w="108" w:type="dxa"/>
              <w:right w:w="108" w:type="dxa"/>
            </w:tcMar>
            <w:vAlign w:val="top"/>
          </w:tcPr>
          <w:p w14:paraId="74B9618E">
            <w:pPr>
              <w:rPr>
                <w:sz w:val="28"/>
                <w:szCs w:val="28"/>
                <w:lang w:val="ru-RU"/>
              </w:rPr>
            </w:pPr>
            <w:r>
              <w:rPr>
                <w:rFonts w:eastAsia="Calibri"/>
                <w:sz w:val="28"/>
                <w:szCs w:val="28"/>
                <w:lang w:val="uk-UA"/>
              </w:rPr>
              <w:t>КОТОК Наталія       Василівна</w:t>
            </w:r>
          </w:p>
          <w:p w14:paraId="4324FB22">
            <w:pPr>
              <w:jc w:val="both"/>
              <w:rPr>
                <w:rFonts w:eastAsia="Calibri"/>
                <w:sz w:val="28"/>
                <w:szCs w:val="28"/>
                <w:lang w:val="uk-UA"/>
              </w:rPr>
            </w:pPr>
          </w:p>
          <w:p w14:paraId="63A1BD53">
            <w:pPr>
              <w:jc w:val="both"/>
              <w:rPr>
                <w:rFonts w:eastAsia="Calibri"/>
                <w:sz w:val="28"/>
                <w:szCs w:val="28"/>
                <w:lang w:val="uk-UA"/>
              </w:rPr>
            </w:pPr>
          </w:p>
          <w:p w14:paraId="7B07F4A2">
            <w:pPr>
              <w:ind w:right="-108"/>
              <w:rPr>
                <w:rFonts w:eastAsia="Calibri"/>
                <w:sz w:val="28"/>
                <w:szCs w:val="28"/>
                <w:lang w:val="uk-UA"/>
              </w:rPr>
            </w:pPr>
          </w:p>
          <w:p w14:paraId="0FD1ABA3">
            <w:pPr>
              <w:ind w:right="-108"/>
              <w:rPr>
                <w:sz w:val="28"/>
                <w:szCs w:val="28"/>
                <w:lang w:val="ru-RU"/>
              </w:rPr>
            </w:pPr>
            <w:r>
              <w:rPr>
                <w:rFonts w:eastAsia="Calibri"/>
                <w:sz w:val="28"/>
                <w:szCs w:val="28"/>
                <w:lang w:val="uk-UA"/>
              </w:rPr>
              <w:t xml:space="preserve">ХОМЕНКО Лідія         Михайлівна </w:t>
            </w:r>
          </w:p>
          <w:p w14:paraId="214588A3">
            <w:pPr>
              <w:ind w:right="-108"/>
              <w:rPr>
                <w:rFonts w:eastAsia="Calibri"/>
                <w:sz w:val="28"/>
                <w:szCs w:val="28"/>
                <w:lang w:val="uk-UA"/>
              </w:rPr>
            </w:pPr>
          </w:p>
          <w:p w14:paraId="2C0941AD">
            <w:pPr>
              <w:ind w:right="-108"/>
              <w:rPr>
                <w:rFonts w:eastAsia="Calibri"/>
                <w:sz w:val="28"/>
                <w:szCs w:val="28"/>
                <w:lang w:val="uk-UA"/>
              </w:rPr>
            </w:pPr>
          </w:p>
          <w:p w14:paraId="49960551">
            <w:pPr>
              <w:ind w:right="-108"/>
              <w:rPr>
                <w:rFonts w:eastAsia="Calibri"/>
                <w:sz w:val="28"/>
                <w:szCs w:val="28"/>
                <w:lang w:val="uk-UA"/>
              </w:rPr>
            </w:pPr>
          </w:p>
          <w:p w14:paraId="2822A210">
            <w:pPr>
              <w:ind w:right="-108"/>
              <w:rPr>
                <w:rFonts w:eastAsia="Calibri"/>
                <w:sz w:val="28"/>
                <w:szCs w:val="28"/>
                <w:lang w:val="uk-UA"/>
              </w:rPr>
            </w:pPr>
          </w:p>
          <w:p w14:paraId="27A4ECC0">
            <w:pPr>
              <w:ind w:right="-108"/>
              <w:rPr>
                <w:rFonts w:eastAsia="Calibri"/>
                <w:sz w:val="28"/>
                <w:szCs w:val="28"/>
                <w:lang w:val="uk-UA"/>
              </w:rPr>
            </w:pPr>
          </w:p>
          <w:p w14:paraId="6A98A4F5">
            <w:pPr>
              <w:ind w:right="-108"/>
              <w:rPr>
                <w:sz w:val="28"/>
                <w:szCs w:val="28"/>
              </w:rPr>
            </w:pPr>
            <w:r>
              <w:rPr>
                <w:rFonts w:eastAsia="Calibri"/>
                <w:sz w:val="28"/>
                <w:szCs w:val="28"/>
                <w:lang w:val="uk-UA"/>
              </w:rPr>
              <w:t xml:space="preserve">ОЛЕФІРЕНКО          </w:t>
            </w:r>
          </w:p>
          <w:p w14:paraId="15DA04B2">
            <w:pPr>
              <w:ind w:right="-108"/>
              <w:rPr>
                <w:sz w:val="28"/>
                <w:szCs w:val="28"/>
              </w:rPr>
            </w:pPr>
            <w:r>
              <w:rPr>
                <w:rFonts w:eastAsia="Calibri"/>
                <w:sz w:val="28"/>
                <w:szCs w:val="28"/>
                <w:lang w:val="uk-UA"/>
              </w:rPr>
              <w:t>Олеся Миколаївна</w:t>
            </w:r>
          </w:p>
        </w:tc>
        <w:tc>
          <w:tcPr>
            <w:tcW w:w="6698" w:type="dxa"/>
            <w:noWrap w:val="0"/>
            <w:tcMar>
              <w:left w:w="108" w:type="dxa"/>
              <w:right w:w="108" w:type="dxa"/>
            </w:tcMar>
            <w:vAlign w:val="top"/>
          </w:tcPr>
          <w:p w14:paraId="176EDEC3">
            <w:pPr>
              <w:ind w:right="-114"/>
              <w:jc w:val="both"/>
              <w:rPr>
                <w:sz w:val="28"/>
                <w:szCs w:val="28"/>
              </w:rPr>
            </w:pPr>
            <w:r>
              <w:rPr>
                <w:rFonts w:eastAsia="Calibri"/>
                <w:sz w:val="28"/>
                <w:szCs w:val="28"/>
                <w:lang w:val="uk-UA" w:eastAsia="ru-RU"/>
              </w:rPr>
              <w:t>- начальник відділу - головний бухгалтер відділу бухгалтерського обліку, звітності та господарської діяльності Попівської сільської ради Конотопського району Сумської області;</w:t>
            </w:r>
          </w:p>
          <w:p w14:paraId="4764489E">
            <w:pPr>
              <w:ind w:right="-114"/>
              <w:jc w:val="both"/>
              <w:rPr>
                <w:sz w:val="28"/>
                <w:szCs w:val="28"/>
              </w:rPr>
            </w:pPr>
          </w:p>
          <w:p w14:paraId="35B840F6">
            <w:pPr>
              <w:ind w:right="-114"/>
              <w:jc w:val="both"/>
              <w:rPr>
                <w:rFonts w:eastAsia="Calibri"/>
                <w:sz w:val="28"/>
                <w:szCs w:val="28"/>
                <w:lang w:val="uk-UA" w:eastAsia="ru-RU"/>
              </w:rPr>
            </w:pPr>
            <w:r>
              <w:rPr>
                <w:rFonts w:eastAsia="Calibri"/>
                <w:sz w:val="28"/>
                <w:szCs w:val="28"/>
                <w:lang w:val="uk-UA" w:eastAsia="ru-RU"/>
              </w:rPr>
              <w:t>- заступник начальника відділу бухгалтерського обліку, звітності та господарської діяльності Попівської сільської ради Конотопського району Сумської області;</w:t>
            </w:r>
          </w:p>
          <w:p w14:paraId="68351002">
            <w:pPr>
              <w:ind w:right="-114"/>
              <w:jc w:val="both"/>
              <w:rPr>
                <w:rFonts w:eastAsia="Calibri"/>
                <w:sz w:val="28"/>
                <w:szCs w:val="28"/>
                <w:lang w:val="uk-UA" w:eastAsia="ru-RU"/>
              </w:rPr>
            </w:pPr>
          </w:p>
          <w:p w14:paraId="7F572A5B">
            <w:pPr>
              <w:ind w:right="-114"/>
              <w:jc w:val="both"/>
              <w:rPr>
                <w:sz w:val="28"/>
                <w:szCs w:val="28"/>
                <w:lang w:val="ru-RU" w:eastAsia="ru-RU"/>
              </w:rPr>
            </w:pPr>
          </w:p>
          <w:p w14:paraId="75FD7411">
            <w:pPr>
              <w:ind w:right="-114"/>
              <w:jc w:val="both"/>
              <w:rPr>
                <w:sz w:val="28"/>
                <w:szCs w:val="28"/>
                <w:lang w:val="ru-RU" w:eastAsia="ru-RU"/>
              </w:rPr>
            </w:pPr>
          </w:p>
          <w:p w14:paraId="71CFA6FD">
            <w:pPr>
              <w:ind w:right="-114"/>
              <w:jc w:val="both"/>
              <w:rPr>
                <w:sz w:val="28"/>
                <w:szCs w:val="28"/>
                <w:lang w:val="ru-RU"/>
              </w:rPr>
            </w:pPr>
            <w:r>
              <w:rPr>
                <w:sz w:val="28"/>
                <w:szCs w:val="28"/>
                <w:lang w:val="ru-RU" w:eastAsia="ru-RU"/>
              </w:rPr>
              <w:t>- начальник відділ</w:t>
            </w:r>
            <w:r>
              <w:rPr>
                <w:sz w:val="28"/>
                <w:szCs w:val="28"/>
                <w:lang w:val="uk-UA" w:eastAsia="ru-RU"/>
              </w:rPr>
              <w:t>у</w:t>
            </w:r>
            <w:r>
              <w:rPr>
                <w:sz w:val="28"/>
                <w:szCs w:val="28"/>
                <w:lang w:val="ru-RU" w:eastAsia="ru-RU"/>
              </w:rPr>
              <w:t xml:space="preserve"> правового забезпечення Попівської сільської ради Конотопського району Сумської області;</w:t>
            </w:r>
          </w:p>
        </w:tc>
        <w:tc>
          <w:tcPr>
            <w:tcW w:w="239" w:type="dxa"/>
            <w:noWrap w:val="0"/>
            <w:vAlign w:val="top"/>
          </w:tcPr>
          <w:p w14:paraId="4FE4E108">
            <w:pPr>
              <w:snapToGrid w:val="0"/>
              <w:rPr>
                <w:rFonts w:eastAsia="Calibri"/>
                <w:sz w:val="28"/>
                <w:szCs w:val="28"/>
                <w:lang w:val="uk-UA" w:eastAsia="ru-RU"/>
              </w:rPr>
            </w:pPr>
          </w:p>
        </w:tc>
      </w:tr>
      <w:tr w14:paraId="44423626">
        <w:tblPrEx>
          <w:tblCellMar>
            <w:top w:w="0" w:type="dxa"/>
            <w:left w:w="0" w:type="dxa"/>
            <w:bottom w:w="0" w:type="dxa"/>
            <w:right w:w="0" w:type="dxa"/>
          </w:tblCellMar>
        </w:tblPrEx>
        <w:trPr>
          <w:trHeight w:val="1048" w:hRule="atLeast"/>
        </w:trPr>
        <w:tc>
          <w:tcPr>
            <w:tcW w:w="3083" w:type="dxa"/>
            <w:noWrap w:val="0"/>
            <w:tcMar>
              <w:left w:w="108" w:type="dxa"/>
              <w:right w:w="108" w:type="dxa"/>
            </w:tcMar>
            <w:vAlign w:val="top"/>
          </w:tcPr>
          <w:p w14:paraId="2157BAF3">
            <w:pPr>
              <w:rPr>
                <w:rFonts w:eastAsia="Calibri"/>
                <w:sz w:val="28"/>
                <w:szCs w:val="28"/>
                <w:lang w:val="uk-UA"/>
              </w:rPr>
            </w:pPr>
          </w:p>
          <w:p w14:paraId="25DA28F3">
            <w:pPr>
              <w:rPr>
                <w:sz w:val="28"/>
                <w:szCs w:val="28"/>
              </w:rPr>
            </w:pPr>
            <w:r>
              <w:rPr>
                <w:rFonts w:eastAsia="Calibri"/>
                <w:sz w:val="28"/>
                <w:szCs w:val="28"/>
                <w:lang w:val="uk-UA"/>
              </w:rPr>
              <w:t>ГОЛІНКА Юрій     Миколайович</w:t>
            </w:r>
          </w:p>
          <w:p w14:paraId="0528A116">
            <w:pPr>
              <w:rPr>
                <w:rFonts w:eastAsia="Calibri"/>
                <w:sz w:val="28"/>
                <w:szCs w:val="28"/>
                <w:lang w:val="uk-UA"/>
              </w:rPr>
            </w:pPr>
          </w:p>
        </w:tc>
        <w:tc>
          <w:tcPr>
            <w:tcW w:w="6698" w:type="dxa"/>
            <w:noWrap w:val="0"/>
            <w:tcMar>
              <w:left w:w="108" w:type="dxa"/>
              <w:right w:w="108" w:type="dxa"/>
            </w:tcMar>
            <w:vAlign w:val="top"/>
          </w:tcPr>
          <w:p w14:paraId="4B8DD75D">
            <w:pPr>
              <w:jc w:val="both"/>
              <w:rPr>
                <w:rFonts w:eastAsia="Calibri"/>
                <w:sz w:val="28"/>
                <w:szCs w:val="28"/>
                <w:lang w:val="uk-UA"/>
              </w:rPr>
            </w:pPr>
          </w:p>
          <w:p w14:paraId="6DA3ECCA">
            <w:pPr>
              <w:jc w:val="both"/>
              <w:rPr>
                <w:sz w:val="28"/>
                <w:szCs w:val="28"/>
                <w:lang w:val="uk-UA"/>
              </w:rPr>
            </w:pPr>
            <w:r>
              <w:rPr>
                <w:rFonts w:eastAsia="Calibri"/>
                <w:sz w:val="28"/>
                <w:szCs w:val="28"/>
                <w:lang w:val="uk-UA"/>
              </w:rPr>
              <w:t xml:space="preserve">- </w:t>
            </w:r>
            <w:r>
              <w:rPr>
                <w:sz w:val="28"/>
                <w:szCs w:val="28"/>
                <w:lang w:val="uk-UA"/>
              </w:rPr>
              <w:t xml:space="preserve">начальник відділу земельних ресурсів та екології </w:t>
            </w:r>
            <w:r>
              <w:rPr>
                <w:sz w:val="28"/>
                <w:szCs w:val="28"/>
                <w:lang w:val="uk-UA" w:eastAsia="uk-UA"/>
              </w:rPr>
              <w:t xml:space="preserve">Попівської сільської ради </w:t>
            </w:r>
            <w:r>
              <w:rPr>
                <w:sz w:val="28"/>
                <w:szCs w:val="28"/>
                <w:lang w:val="uk-UA"/>
              </w:rPr>
              <w:t>Конотопського району Сумської області;</w:t>
            </w:r>
          </w:p>
          <w:p w14:paraId="7ABA56AF">
            <w:pPr>
              <w:jc w:val="both"/>
              <w:rPr>
                <w:sz w:val="28"/>
                <w:szCs w:val="28"/>
                <w:lang w:val="uk-UA"/>
              </w:rPr>
            </w:pPr>
          </w:p>
          <w:p w14:paraId="28862A22">
            <w:pPr>
              <w:jc w:val="both"/>
              <w:rPr>
                <w:sz w:val="28"/>
                <w:szCs w:val="28"/>
                <w:lang w:val="uk-UA"/>
              </w:rPr>
            </w:pPr>
          </w:p>
        </w:tc>
        <w:tc>
          <w:tcPr>
            <w:tcW w:w="239" w:type="dxa"/>
            <w:noWrap w:val="0"/>
            <w:vAlign w:val="top"/>
          </w:tcPr>
          <w:p w14:paraId="3C4786FA">
            <w:pPr>
              <w:snapToGrid w:val="0"/>
              <w:rPr>
                <w:rFonts w:eastAsia="Calibri"/>
                <w:sz w:val="28"/>
                <w:szCs w:val="28"/>
                <w:lang w:val="uk-UA" w:eastAsia="ru-RU"/>
              </w:rPr>
            </w:pPr>
          </w:p>
        </w:tc>
      </w:tr>
      <w:tr w14:paraId="40BA1219">
        <w:tblPrEx>
          <w:tblCellMar>
            <w:top w:w="0" w:type="dxa"/>
            <w:left w:w="108" w:type="dxa"/>
            <w:bottom w:w="0" w:type="dxa"/>
            <w:right w:w="108" w:type="dxa"/>
          </w:tblCellMar>
        </w:tblPrEx>
        <w:trPr>
          <w:trHeight w:val="23" w:hRule="atLeast"/>
        </w:trPr>
        <w:tc>
          <w:tcPr>
            <w:tcW w:w="9781" w:type="dxa"/>
            <w:gridSpan w:val="2"/>
            <w:noWrap w:val="0"/>
            <w:vAlign w:val="top"/>
          </w:tcPr>
          <w:p w14:paraId="7C02820B">
            <w:pPr>
              <w:numPr>
                <w:ilvl w:val="0"/>
                <w:numId w:val="2"/>
              </w:numPr>
              <w:ind w:left="0" w:right="141" w:firstLine="0"/>
              <w:jc w:val="both"/>
              <w:rPr>
                <w:sz w:val="28"/>
                <w:szCs w:val="28"/>
                <w:lang w:val="ru-RU"/>
              </w:rPr>
            </w:pPr>
            <w:r>
              <w:rPr>
                <w:rFonts w:eastAsia="Calibri"/>
                <w:sz w:val="28"/>
                <w:szCs w:val="28"/>
                <w:lang w:val="uk-UA" w:eastAsia="ru-RU"/>
              </w:rPr>
              <w:t>Уповноважений представник балансоутримувача пошкодженого об’єкта;</w:t>
            </w:r>
          </w:p>
          <w:p w14:paraId="173C7575">
            <w:pPr>
              <w:numPr>
                <w:ilvl w:val="0"/>
                <w:numId w:val="2"/>
              </w:numPr>
              <w:ind w:left="0" w:right="141" w:firstLine="0"/>
              <w:jc w:val="both"/>
              <w:rPr>
                <w:sz w:val="28"/>
                <w:szCs w:val="28"/>
                <w:lang w:val="ru-RU"/>
              </w:rPr>
            </w:pPr>
            <w:r>
              <w:rPr>
                <w:rFonts w:eastAsia="Calibri"/>
                <w:sz w:val="28"/>
                <w:szCs w:val="28"/>
                <w:lang w:val="uk-UA" w:eastAsia="ru-RU"/>
              </w:rPr>
              <w:t>Фахівці/фахівець, який здобув вищу освіту у галузі знань “Будівництво та архітектура”, крім спеціальності “Геодезія та землеустрій” (за згодою).</w:t>
            </w:r>
          </w:p>
          <w:p w14:paraId="60D27A4E">
            <w:pPr>
              <w:ind w:right="141"/>
              <w:jc w:val="both"/>
              <w:rPr>
                <w:rFonts w:eastAsia="Calibri"/>
                <w:sz w:val="28"/>
                <w:szCs w:val="28"/>
                <w:lang w:val="uk-UA" w:eastAsia="ru-RU"/>
              </w:rPr>
            </w:pPr>
          </w:p>
          <w:p w14:paraId="53399059">
            <w:pPr>
              <w:ind w:right="141"/>
              <w:jc w:val="both"/>
              <w:rPr>
                <w:sz w:val="28"/>
                <w:szCs w:val="28"/>
                <w:lang w:val="ru-RU"/>
              </w:rPr>
            </w:pPr>
            <w:r>
              <w:rPr>
                <w:rFonts w:eastAsia="Calibri"/>
                <w:sz w:val="28"/>
                <w:szCs w:val="28"/>
                <w:lang w:val="uk-UA" w:eastAsia="ru-RU"/>
              </w:rPr>
              <w:t xml:space="preserve">          В разі відсутності голови комісії його обов</w:t>
            </w:r>
            <w:r>
              <w:rPr>
                <w:rFonts w:eastAsia="Calibri"/>
                <w:sz w:val="28"/>
                <w:szCs w:val="28"/>
                <w:lang w:val="ru-RU" w:eastAsia="ru-RU"/>
              </w:rPr>
              <w:t>’</w:t>
            </w:r>
            <w:r>
              <w:rPr>
                <w:rFonts w:eastAsia="Calibri"/>
                <w:sz w:val="28"/>
                <w:szCs w:val="28"/>
                <w:lang w:val="uk-UA" w:eastAsia="ru-RU"/>
              </w:rPr>
              <w:t>язки виконує заступник голови комісії.</w:t>
            </w:r>
          </w:p>
        </w:tc>
        <w:tc>
          <w:tcPr>
            <w:tcW w:w="239" w:type="dxa"/>
            <w:noWrap w:val="0"/>
            <w:vAlign w:val="top"/>
          </w:tcPr>
          <w:p w14:paraId="14A0C49D">
            <w:pPr>
              <w:snapToGrid w:val="0"/>
              <w:ind w:right="141"/>
              <w:jc w:val="both"/>
              <w:rPr>
                <w:rFonts w:eastAsia="Calibri"/>
                <w:sz w:val="28"/>
                <w:szCs w:val="28"/>
                <w:lang w:val="ru-RU" w:eastAsia="ru-RU"/>
              </w:rPr>
            </w:pPr>
          </w:p>
        </w:tc>
      </w:tr>
      <w:tr w14:paraId="50A61594">
        <w:tblPrEx>
          <w:tblCellMar>
            <w:top w:w="0" w:type="dxa"/>
            <w:left w:w="108" w:type="dxa"/>
            <w:bottom w:w="0" w:type="dxa"/>
            <w:right w:w="108" w:type="dxa"/>
          </w:tblCellMar>
        </w:tblPrEx>
        <w:trPr>
          <w:trHeight w:val="23" w:hRule="atLeast"/>
        </w:trPr>
        <w:tc>
          <w:tcPr>
            <w:tcW w:w="9781" w:type="dxa"/>
            <w:gridSpan w:val="2"/>
            <w:noWrap w:val="0"/>
            <w:vAlign w:val="top"/>
          </w:tcPr>
          <w:p w14:paraId="25DFDCFB">
            <w:pPr>
              <w:ind w:left="360" w:right="141"/>
              <w:jc w:val="both"/>
              <w:rPr>
                <w:rFonts w:eastAsia="Calibri"/>
                <w:sz w:val="28"/>
                <w:szCs w:val="28"/>
                <w:lang w:val="uk-UA" w:eastAsia="ru-RU"/>
              </w:rPr>
            </w:pPr>
          </w:p>
        </w:tc>
        <w:tc>
          <w:tcPr>
            <w:tcW w:w="239" w:type="dxa"/>
            <w:noWrap w:val="0"/>
            <w:vAlign w:val="top"/>
          </w:tcPr>
          <w:p w14:paraId="2B28F381">
            <w:pPr>
              <w:snapToGrid w:val="0"/>
              <w:ind w:right="141"/>
              <w:jc w:val="both"/>
              <w:rPr>
                <w:rFonts w:eastAsia="Calibri"/>
                <w:sz w:val="28"/>
                <w:szCs w:val="28"/>
                <w:lang w:val="ru-RU" w:eastAsia="ru-RU"/>
              </w:rPr>
            </w:pPr>
          </w:p>
        </w:tc>
      </w:tr>
    </w:tbl>
    <w:p w14:paraId="66C22E34">
      <w:pPr>
        <w:jc w:val="both"/>
        <w:rPr>
          <w:b/>
          <w:sz w:val="28"/>
          <w:szCs w:val="28"/>
          <w:lang w:val="uk-UA"/>
        </w:rPr>
      </w:pPr>
    </w:p>
    <w:p w14:paraId="120A0311">
      <w:pPr>
        <w:pStyle w:val="6"/>
        <w:tabs>
          <w:tab w:val="left" w:pos="-2694"/>
          <w:tab w:val="left" w:pos="0"/>
          <w:tab w:val="clear" w:pos="2130"/>
        </w:tabs>
        <w:jc w:val="left"/>
        <w:rPr>
          <w:szCs w:val="28"/>
        </w:rPr>
      </w:pPr>
      <w:r>
        <w:rPr>
          <w:b/>
          <w:szCs w:val="28"/>
        </w:rPr>
        <w:t xml:space="preserve">Сільський голова </w:t>
      </w:r>
      <w:r>
        <w:rPr>
          <w:b/>
          <w:szCs w:val="28"/>
        </w:rPr>
        <w:tab/>
      </w:r>
      <w:r>
        <w:rPr>
          <w:b/>
          <w:szCs w:val="28"/>
        </w:rPr>
        <w:tab/>
      </w:r>
      <w:r>
        <w:rPr>
          <w:b/>
          <w:szCs w:val="28"/>
        </w:rPr>
        <w:t xml:space="preserve">                         </w:t>
      </w:r>
      <w:r>
        <w:rPr>
          <w:b/>
          <w:szCs w:val="28"/>
        </w:rPr>
        <w:tab/>
      </w:r>
      <w:r>
        <w:rPr>
          <w:b/>
          <w:szCs w:val="28"/>
        </w:rPr>
        <w:tab/>
      </w:r>
      <w:r>
        <w:rPr>
          <w:b/>
          <w:szCs w:val="28"/>
        </w:rPr>
        <w:t>Анатолій БОЯРЧУК</w:t>
      </w:r>
    </w:p>
    <w:p w14:paraId="34438231">
      <w:pPr>
        <w:tabs>
          <w:tab w:val="center" w:pos="4749"/>
        </w:tabs>
      </w:pPr>
    </w:p>
    <w:p w14:paraId="62290E95">
      <w:pPr>
        <w:tabs>
          <w:tab w:val="center" w:pos="4749"/>
        </w:tabs>
      </w:pPr>
    </w:p>
    <w:p w14:paraId="427CC557">
      <w:pPr>
        <w:tabs>
          <w:tab w:val="center" w:pos="4749"/>
        </w:tabs>
      </w:pPr>
    </w:p>
    <w:p w14:paraId="363AED3B">
      <w:pPr>
        <w:tabs>
          <w:tab w:val="center" w:pos="4749"/>
        </w:tabs>
      </w:pPr>
    </w:p>
    <w:p w14:paraId="1C74A303">
      <w:pPr>
        <w:tabs>
          <w:tab w:val="center" w:pos="4749"/>
        </w:tabs>
      </w:pPr>
    </w:p>
    <w:p w14:paraId="5C469BED">
      <w:pPr>
        <w:tabs>
          <w:tab w:val="center" w:pos="4749"/>
        </w:tabs>
      </w:pPr>
    </w:p>
    <w:p w14:paraId="11BD2B61">
      <w:pPr>
        <w:tabs>
          <w:tab w:val="center" w:pos="4749"/>
        </w:tabs>
      </w:pPr>
    </w:p>
    <w:p w14:paraId="158DB7F5">
      <w:pPr>
        <w:tabs>
          <w:tab w:val="center" w:pos="4749"/>
        </w:tabs>
      </w:pPr>
    </w:p>
    <w:p w14:paraId="5FDD80CD">
      <w:pPr>
        <w:tabs>
          <w:tab w:val="center" w:pos="4749"/>
        </w:tabs>
      </w:pPr>
    </w:p>
    <w:p w14:paraId="72D1C1FC">
      <w:pPr>
        <w:tabs>
          <w:tab w:val="center" w:pos="4749"/>
        </w:tabs>
      </w:pPr>
    </w:p>
    <w:p w14:paraId="5B8AE346">
      <w:pPr>
        <w:tabs>
          <w:tab w:val="center" w:pos="4749"/>
        </w:tabs>
      </w:pPr>
    </w:p>
    <w:p w14:paraId="484CBE66">
      <w:pPr>
        <w:tabs>
          <w:tab w:val="center" w:pos="4749"/>
        </w:tabs>
      </w:pPr>
    </w:p>
    <w:p w14:paraId="0812BD7C">
      <w:pPr>
        <w:tabs>
          <w:tab w:val="center" w:pos="4749"/>
        </w:tabs>
      </w:pPr>
    </w:p>
    <w:p w14:paraId="1D2FA426">
      <w:pPr>
        <w:tabs>
          <w:tab w:val="center" w:pos="4749"/>
        </w:tabs>
      </w:pPr>
    </w:p>
    <w:p w14:paraId="591A42F6">
      <w:pPr>
        <w:tabs>
          <w:tab w:val="center" w:pos="4749"/>
        </w:tabs>
      </w:pPr>
    </w:p>
    <w:p w14:paraId="1091AAF3">
      <w:pPr>
        <w:tabs>
          <w:tab w:val="center" w:pos="4749"/>
        </w:tabs>
      </w:pPr>
    </w:p>
    <w:p w14:paraId="40BDD591">
      <w:pPr>
        <w:tabs>
          <w:tab w:val="center" w:pos="4749"/>
        </w:tabs>
      </w:pPr>
    </w:p>
    <w:p w14:paraId="4B51864A">
      <w:pPr>
        <w:tabs>
          <w:tab w:val="center" w:pos="4749"/>
        </w:tabs>
      </w:pPr>
    </w:p>
    <w:p w14:paraId="1A03BDA7">
      <w:pPr>
        <w:tabs>
          <w:tab w:val="center" w:pos="4749"/>
        </w:tabs>
      </w:pPr>
    </w:p>
    <w:p w14:paraId="5AC70676">
      <w:pPr>
        <w:tabs>
          <w:tab w:val="center" w:pos="4749"/>
        </w:tabs>
      </w:pPr>
    </w:p>
    <w:p w14:paraId="0E765C95">
      <w:pPr>
        <w:tabs>
          <w:tab w:val="center" w:pos="4749"/>
        </w:tabs>
      </w:pPr>
    </w:p>
    <w:p w14:paraId="0CB930AF">
      <w:pPr>
        <w:tabs>
          <w:tab w:val="center" w:pos="4749"/>
        </w:tabs>
      </w:pPr>
    </w:p>
    <w:p w14:paraId="3D66391F">
      <w:pPr>
        <w:tabs>
          <w:tab w:val="center" w:pos="4749"/>
        </w:tabs>
      </w:pPr>
    </w:p>
    <w:p w14:paraId="097AED2B">
      <w:pPr>
        <w:tabs>
          <w:tab w:val="center" w:pos="4749"/>
        </w:tabs>
      </w:pPr>
    </w:p>
    <w:p w14:paraId="75F19EA9">
      <w:pPr>
        <w:tabs>
          <w:tab w:val="center" w:pos="4749"/>
        </w:tabs>
      </w:pPr>
    </w:p>
    <w:p w14:paraId="61194C9F">
      <w:pPr>
        <w:tabs>
          <w:tab w:val="center" w:pos="4749"/>
        </w:tabs>
      </w:pPr>
    </w:p>
    <w:p w14:paraId="29010328">
      <w:pPr>
        <w:tabs>
          <w:tab w:val="center" w:pos="4749"/>
        </w:tabs>
      </w:pPr>
    </w:p>
    <w:p w14:paraId="310D73B4">
      <w:pPr>
        <w:tabs>
          <w:tab w:val="center" w:pos="4749"/>
        </w:tabs>
      </w:pPr>
    </w:p>
    <w:p w14:paraId="4D497F0A">
      <w:pPr>
        <w:tabs>
          <w:tab w:val="center" w:pos="4749"/>
        </w:tabs>
      </w:pPr>
    </w:p>
    <w:p w14:paraId="5F2E01DC">
      <w:pPr>
        <w:tabs>
          <w:tab w:val="center" w:pos="4749"/>
        </w:tabs>
      </w:pPr>
    </w:p>
    <w:p w14:paraId="575A5D6E">
      <w:pPr>
        <w:tabs>
          <w:tab w:val="center" w:pos="4749"/>
        </w:tabs>
      </w:pPr>
    </w:p>
    <w:p w14:paraId="7D41CD61">
      <w:pPr>
        <w:tabs>
          <w:tab w:val="center" w:pos="4749"/>
        </w:tabs>
      </w:pPr>
    </w:p>
    <w:p w14:paraId="4FBABCEC">
      <w:pPr>
        <w:tabs>
          <w:tab w:val="center" w:pos="4749"/>
        </w:tabs>
      </w:pPr>
    </w:p>
    <w:p w14:paraId="2C403573">
      <w:pPr>
        <w:tabs>
          <w:tab w:val="center" w:pos="4749"/>
        </w:tabs>
      </w:pPr>
    </w:p>
    <w:p w14:paraId="05F7867D">
      <w:pPr>
        <w:tabs>
          <w:tab w:val="center" w:pos="4749"/>
        </w:tabs>
      </w:pPr>
    </w:p>
    <w:p w14:paraId="001518FE">
      <w:pPr>
        <w:tabs>
          <w:tab w:val="center" w:pos="4749"/>
        </w:tabs>
      </w:pPr>
    </w:p>
    <w:p w14:paraId="3A5C2D7E">
      <w:pPr>
        <w:tabs>
          <w:tab w:val="center" w:pos="4749"/>
        </w:tabs>
      </w:pPr>
    </w:p>
    <w:p w14:paraId="310C51BF">
      <w:pPr>
        <w:tabs>
          <w:tab w:val="center" w:pos="4749"/>
        </w:tabs>
      </w:pPr>
    </w:p>
    <w:p w14:paraId="7B8A41B6">
      <w:pPr>
        <w:tabs>
          <w:tab w:val="center" w:pos="4749"/>
        </w:tabs>
      </w:pPr>
    </w:p>
    <w:p w14:paraId="1FB3135A">
      <w:pPr>
        <w:widowControl w:val="0"/>
        <w:spacing w:before="77" w:line="240" w:lineRule="auto"/>
        <w:ind w:right="428"/>
        <w:jc w:val="right"/>
        <w:rPr>
          <w:rFonts w:ascii="Cambria" w:hAnsi="Cambria" w:eastAsia="Cambria" w:cs="Cambria"/>
          <w:lang w:val="uk-UA"/>
        </w:rPr>
      </w:pPr>
      <w:r>
        <w:rPr>
          <w:rFonts w:ascii="Cambria" w:hAnsi="Cambria" w:eastAsia="Cambria" w:cs="Cambria"/>
          <w:lang w:val="uk-UA"/>
        </w:rPr>
        <w:t xml:space="preserve"> </w:t>
      </w:r>
    </w:p>
    <w:tbl>
      <w:tblPr>
        <w:tblStyle w:val="18"/>
        <w:tblW w:w="100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3"/>
        <w:gridCol w:w="4928"/>
      </w:tblGrid>
      <w:tr w14:paraId="3F6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33FA2CFA">
            <w:pPr>
              <w:widowControl w:val="0"/>
              <w:spacing w:line="240" w:lineRule="auto"/>
              <w:ind w:right="428"/>
              <w:jc w:val="both"/>
              <w:rPr>
                <w:rFonts w:ascii="Times New Roman" w:hAnsi="Times New Roman" w:eastAsia="Cambria" w:cs="Times New Roman"/>
                <w:sz w:val="28"/>
                <w:szCs w:val="28"/>
              </w:rPr>
            </w:pPr>
          </w:p>
          <w:p w14:paraId="1F9C3F06">
            <w:pPr>
              <w:widowControl w:val="0"/>
              <w:spacing w:line="240" w:lineRule="auto"/>
              <w:ind w:right="428"/>
              <w:jc w:val="both"/>
              <w:rPr>
                <w:rFonts w:ascii="Times New Roman" w:hAnsi="Times New Roman" w:eastAsia="Cambria" w:cs="Times New Roman"/>
                <w:sz w:val="28"/>
                <w:szCs w:val="28"/>
              </w:rPr>
            </w:pPr>
          </w:p>
          <w:p w14:paraId="482A989A">
            <w:pPr>
              <w:widowControl w:val="0"/>
              <w:spacing w:line="240" w:lineRule="auto"/>
              <w:ind w:right="428"/>
              <w:jc w:val="both"/>
              <w:rPr>
                <w:rFonts w:ascii="Times New Roman" w:hAnsi="Times New Roman" w:eastAsia="Cambria" w:cs="Times New Roman"/>
                <w:sz w:val="28"/>
                <w:szCs w:val="28"/>
              </w:rPr>
            </w:pPr>
          </w:p>
        </w:tc>
        <w:tc>
          <w:tcPr>
            <w:tcW w:w="4928" w:type="dxa"/>
          </w:tcPr>
          <w:p w14:paraId="0B1389F1">
            <w:pPr>
              <w:widowControl w:val="0"/>
              <w:spacing w:line="240" w:lineRule="auto"/>
              <w:ind w:right="428"/>
              <w:rPr>
                <w:rFonts w:ascii="Times New Roman" w:hAnsi="Times New Roman" w:eastAsia="Cambria" w:cs="Times New Roman"/>
                <w:sz w:val="28"/>
                <w:szCs w:val="28"/>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Додаток 2</w:t>
            </w: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 xml:space="preserve">до </w:t>
            </w:r>
          </w:p>
          <w:p w14:paraId="5BF1F935">
            <w:pPr>
              <w:widowControl w:val="0"/>
              <w:tabs>
                <w:tab w:val="left" w:pos="4114"/>
              </w:tabs>
              <w:spacing w:line="240" w:lineRule="auto"/>
              <w:ind w:right="428"/>
              <w:jc w:val="center"/>
              <w:rPr>
                <w:rFonts w:ascii="Times New Roman" w:hAnsi="Times New Roman" w:eastAsia="Cambria" w:cs="Times New Roman"/>
                <w:sz w:val="28"/>
                <w:szCs w:val="28"/>
                <w:lang w:val="uk-UA"/>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 xml:space="preserve">рішення виконавчого </w:t>
            </w:r>
            <w:r>
              <w:rPr>
                <w:rFonts w:ascii="Times New Roman" w:hAnsi="Times New Roman" w:eastAsia="Cambria" w:cs="Times New Roman"/>
                <w:sz w:val="28"/>
                <w:szCs w:val="28"/>
                <w:lang w:val="uk-UA"/>
              </w:rPr>
              <w:t>к</w:t>
            </w:r>
            <w:r>
              <w:rPr>
                <w:rFonts w:ascii="Times New Roman" w:hAnsi="Times New Roman" w:eastAsia="Cambria" w:cs="Times New Roman"/>
                <w:sz w:val="28"/>
                <w:szCs w:val="28"/>
              </w:rPr>
              <w:t xml:space="preserve">омітету </w:t>
            </w:r>
            <w:r>
              <w:rPr>
                <w:rFonts w:ascii="Times New Roman" w:hAnsi="Times New Roman" w:eastAsia="Cambria" w:cs="Times New Roman"/>
                <w:sz w:val="28"/>
                <w:szCs w:val="28"/>
                <w:lang w:val="uk-UA"/>
              </w:rPr>
              <w:t xml:space="preserve"> </w:t>
            </w:r>
          </w:p>
          <w:p w14:paraId="1FBC4C82">
            <w:pPr>
              <w:widowControl w:val="0"/>
              <w:spacing w:line="240" w:lineRule="auto"/>
              <w:ind w:right="428"/>
              <w:rPr>
                <w:rFonts w:ascii="Times New Roman" w:hAnsi="Times New Roman" w:eastAsia="Cambria" w:cs="Times New Roman"/>
                <w:sz w:val="28"/>
                <w:szCs w:val="28"/>
                <w:lang w:val="uk-UA"/>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 xml:space="preserve"> </w:t>
            </w:r>
            <w:r>
              <w:rPr>
                <w:rFonts w:hint="default" w:ascii="Times New Roman" w:hAnsi="Times New Roman" w:eastAsia="Cambria" w:cs="Times New Roman"/>
                <w:sz w:val="28"/>
                <w:szCs w:val="28"/>
                <w:lang w:val="uk-UA"/>
              </w:rPr>
              <w:t>135</w:t>
            </w:r>
            <w:r>
              <w:rPr>
                <w:rFonts w:ascii="Times New Roman" w:hAnsi="Times New Roman" w:eastAsia="Cambria" w:cs="Times New Roman"/>
                <w:sz w:val="28"/>
                <w:szCs w:val="28"/>
              </w:rPr>
              <w:t xml:space="preserve">  </w:t>
            </w:r>
            <w:r>
              <w:rPr>
                <w:rFonts w:ascii="Times New Roman" w:hAnsi="Times New Roman" w:eastAsia="Cambria" w:cs="Times New Roman"/>
                <w:sz w:val="28"/>
                <w:szCs w:val="28"/>
                <w:lang w:val="uk-UA"/>
              </w:rPr>
              <w:t>від  05.05.2025</w:t>
            </w:r>
          </w:p>
          <w:p w14:paraId="7485787D">
            <w:pPr>
              <w:widowControl w:val="0"/>
              <w:spacing w:line="240" w:lineRule="auto"/>
              <w:ind w:right="428"/>
              <w:rPr>
                <w:rFonts w:ascii="Times New Roman" w:hAnsi="Times New Roman" w:eastAsia="Cambria" w:cs="Times New Roman"/>
                <w:sz w:val="28"/>
                <w:szCs w:val="28"/>
                <w:lang w:val="uk-UA"/>
              </w:rPr>
            </w:pPr>
          </w:p>
        </w:tc>
      </w:tr>
    </w:tbl>
    <w:p w14:paraId="35C5AE57">
      <w:pPr>
        <w:widowControl w:val="0"/>
        <w:tabs>
          <w:tab w:val="left" w:pos="8880"/>
        </w:tabs>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ab/>
      </w:r>
    </w:p>
    <w:p w14:paraId="7BBE135F">
      <w:pPr>
        <w:widowControl w:val="0"/>
        <w:spacing w:before="92" w:line="240" w:lineRule="auto"/>
        <w:ind w:right="428"/>
        <w:jc w:val="center"/>
        <w:rPr>
          <w:rFonts w:ascii="Times New Roman" w:hAnsi="Times New Roman" w:eastAsia="Cambria" w:cs="Times New Roman"/>
          <w:b/>
          <w:sz w:val="28"/>
          <w:szCs w:val="28"/>
          <w:lang w:val="uk-UA"/>
        </w:rPr>
      </w:pPr>
      <w:r>
        <w:rPr>
          <w:rFonts w:ascii="Times New Roman" w:hAnsi="Times New Roman" w:eastAsia="Cambria" w:cs="Times New Roman"/>
          <w:b/>
          <w:sz w:val="28"/>
          <w:szCs w:val="28"/>
          <w:lang w:val="uk-UA"/>
        </w:rPr>
        <w:t>ПОРЯДОК</w:t>
      </w:r>
    </w:p>
    <w:p w14:paraId="45FA2690">
      <w:pPr>
        <w:widowControl w:val="0"/>
        <w:spacing w:line="240" w:lineRule="auto"/>
        <w:ind w:right="428"/>
        <w:jc w:val="center"/>
        <w:rPr>
          <w:rFonts w:ascii="Times New Roman" w:hAnsi="Times New Roman" w:eastAsia="Cambria" w:cs="Times New Roman"/>
          <w:b/>
          <w:sz w:val="28"/>
          <w:szCs w:val="28"/>
          <w:lang w:val="uk-UA"/>
        </w:rPr>
      </w:pPr>
      <w:r>
        <w:rPr>
          <w:rFonts w:ascii="Times New Roman" w:hAnsi="Times New Roman" w:eastAsia="Cambria" w:cs="Times New Roman"/>
          <w:b/>
          <w:sz w:val="28"/>
          <w:szCs w:val="28"/>
        </w:rPr>
        <w:t xml:space="preserve">про </w:t>
      </w:r>
      <w:r>
        <w:rPr>
          <w:rFonts w:ascii="Times New Roman" w:hAnsi="Times New Roman" w:eastAsia="Cambria" w:cs="Times New Roman"/>
          <w:b/>
          <w:sz w:val="28"/>
          <w:szCs w:val="28"/>
          <w:lang w:val="uk-UA"/>
        </w:rPr>
        <w:t xml:space="preserve">роботу </w:t>
      </w:r>
      <w:r>
        <w:rPr>
          <w:rFonts w:ascii="Times New Roman" w:hAnsi="Times New Roman" w:eastAsia="Cambria" w:cs="Times New Roman"/>
          <w:b/>
          <w:sz w:val="28"/>
          <w:szCs w:val="28"/>
        </w:rPr>
        <w:t>комісі</w:t>
      </w:r>
      <w:r>
        <w:rPr>
          <w:rFonts w:ascii="Times New Roman" w:hAnsi="Times New Roman" w:eastAsia="Cambria" w:cs="Times New Roman"/>
          <w:b/>
          <w:sz w:val="28"/>
          <w:szCs w:val="28"/>
          <w:lang w:val="uk-UA"/>
        </w:rPr>
        <w:t>ї</w:t>
      </w:r>
      <w:r>
        <w:rPr>
          <w:rFonts w:ascii="Times New Roman" w:hAnsi="Times New Roman" w:eastAsia="Cambria" w:cs="Times New Roman"/>
          <w:b/>
          <w:sz w:val="28"/>
          <w:szCs w:val="28"/>
        </w:rPr>
        <w:t xml:space="preserve"> </w:t>
      </w:r>
      <w:r>
        <w:rPr>
          <w:rFonts w:ascii="Times New Roman" w:hAnsi="Times New Roman" w:eastAsia="Cambria" w:cs="Times New Roman"/>
          <w:b/>
          <w:sz w:val="28"/>
          <w:szCs w:val="28"/>
          <w:lang w:val="uk-UA"/>
        </w:rPr>
        <w:t>для обстеження пошкоджень  внаслідок збройної агресії російської федерації на території Попівської сільської ради Конотопського району Сумської області (надалі – Порядок)</w:t>
      </w:r>
    </w:p>
    <w:p w14:paraId="28A63051">
      <w:pPr>
        <w:widowControl w:val="0"/>
        <w:spacing w:before="6" w:line="240" w:lineRule="auto"/>
        <w:ind w:right="428"/>
        <w:jc w:val="center"/>
        <w:rPr>
          <w:rFonts w:ascii="Times New Roman" w:hAnsi="Times New Roman" w:eastAsia="Cambria" w:cs="Times New Roman"/>
          <w:color w:val="242020"/>
          <w:sz w:val="28"/>
          <w:szCs w:val="28"/>
        </w:rPr>
      </w:pPr>
    </w:p>
    <w:p w14:paraId="0A984A47">
      <w:pPr>
        <w:widowControl w:val="0"/>
        <w:spacing w:line="240" w:lineRule="auto"/>
        <w:ind w:right="428"/>
        <w:jc w:val="center"/>
        <w:rPr>
          <w:rFonts w:ascii="Times New Roman" w:hAnsi="Times New Roman" w:eastAsia="Cambria" w:cs="Times New Roman"/>
          <w:b/>
          <w:sz w:val="28"/>
          <w:szCs w:val="28"/>
        </w:rPr>
      </w:pPr>
      <w:r>
        <w:rPr>
          <w:rFonts w:ascii="Times New Roman" w:hAnsi="Times New Roman" w:eastAsia="Cambria" w:cs="Times New Roman"/>
          <w:b/>
          <w:sz w:val="28"/>
          <w:szCs w:val="28"/>
        </w:rPr>
        <w:t>І. Загальні положення</w:t>
      </w:r>
    </w:p>
    <w:p w14:paraId="0F6637C6">
      <w:pPr>
        <w:widowControl w:val="0"/>
        <w:spacing w:line="240" w:lineRule="auto"/>
        <w:ind w:right="428" w:firstLine="720"/>
        <w:jc w:val="both"/>
        <w:rPr>
          <w:rFonts w:ascii="Times New Roman" w:hAnsi="Times New Roman" w:eastAsia="Cambria" w:cs="Times New Roman"/>
          <w:sz w:val="28"/>
          <w:szCs w:val="28"/>
        </w:rPr>
      </w:pPr>
      <w:r>
        <w:rPr>
          <w:rFonts w:ascii="Times New Roman" w:hAnsi="Times New Roman" w:eastAsia="Cambria" w:cs="Times New Roman"/>
          <w:sz w:val="28"/>
          <w:szCs w:val="28"/>
        </w:rPr>
        <w:t xml:space="preserve">Комісія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виконавчого комітету </w:t>
      </w:r>
      <w:r>
        <w:rPr>
          <w:rFonts w:ascii="Times New Roman" w:hAnsi="Times New Roman" w:eastAsia="Cambria" w:cs="Times New Roman"/>
          <w:sz w:val="28"/>
          <w:szCs w:val="28"/>
          <w:lang w:val="uk-UA"/>
        </w:rPr>
        <w:t>сільської</w:t>
      </w:r>
      <w:r>
        <w:rPr>
          <w:rFonts w:ascii="Times New Roman" w:hAnsi="Times New Roman" w:eastAsia="Cambria" w:cs="Times New Roman"/>
          <w:sz w:val="28"/>
          <w:szCs w:val="28"/>
        </w:rPr>
        <w:t xml:space="preserve"> ради та цим </w:t>
      </w:r>
      <w:r>
        <w:rPr>
          <w:rFonts w:ascii="Times New Roman" w:hAnsi="Times New Roman" w:eastAsia="Cambria" w:cs="Times New Roman"/>
          <w:sz w:val="28"/>
          <w:szCs w:val="28"/>
          <w:lang w:val="uk-UA"/>
        </w:rPr>
        <w:t>Порядком</w:t>
      </w:r>
      <w:r>
        <w:rPr>
          <w:rFonts w:ascii="Times New Roman" w:hAnsi="Times New Roman" w:eastAsia="Cambria" w:cs="Times New Roman"/>
          <w:sz w:val="28"/>
          <w:szCs w:val="28"/>
        </w:rPr>
        <w:t>.</w:t>
      </w:r>
    </w:p>
    <w:p w14:paraId="5F766053">
      <w:pPr>
        <w:widowControl w:val="0"/>
        <w:spacing w:before="2" w:line="240" w:lineRule="auto"/>
        <w:ind w:right="428"/>
        <w:rPr>
          <w:rFonts w:ascii="Times New Roman" w:hAnsi="Times New Roman" w:eastAsia="Cambria" w:cs="Times New Roman"/>
          <w:sz w:val="28"/>
          <w:szCs w:val="28"/>
        </w:rPr>
      </w:pPr>
    </w:p>
    <w:p w14:paraId="0138665A">
      <w:pPr>
        <w:widowControl w:val="0"/>
        <w:spacing w:line="240" w:lineRule="auto"/>
        <w:ind w:right="428"/>
        <w:jc w:val="center"/>
        <w:rPr>
          <w:rFonts w:ascii="Times New Roman" w:hAnsi="Times New Roman" w:eastAsia="Cambria" w:cs="Times New Roman"/>
          <w:b/>
          <w:sz w:val="28"/>
          <w:szCs w:val="28"/>
        </w:rPr>
      </w:pPr>
      <w:r>
        <w:rPr>
          <w:rFonts w:ascii="Times New Roman" w:hAnsi="Times New Roman" w:eastAsia="Cambria" w:cs="Times New Roman"/>
          <w:b/>
          <w:sz w:val="28"/>
          <w:szCs w:val="28"/>
        </w:rPr>
        <w:t>ІІ. Організація роботи Комісії</w:t>
      </w:r>
    </w:p>
    <w:p w14:paraId="6BBB376D">
      <w:pPr>
        <w:widowControl w:val="0"/>
        <w:spacing w:line="240" w:lineRule="auto"/>
        <w:ind w:right="428" w:firstLine="720"/>
        <w:jc w:val="both"/>
        <w:rPr>
          <w:rFonts w:ascii="Times New Roman" w:hAnsi="Times New Roman" w:eastAsia="Cambria" w:cs="Times New Roman"/>
          <w:sz w:val="28"/>
          <w:szCs w:val="28"/>
        </w:rPr>
      </w:pPr>
      <w:r>
        <w:rPr>
          <w:rFonts w:ascii="Times New Roman" w:hAnsi="Times New Roman" w:eastAsia="Cambria" w:cs="Times New Roman"/>
          <w:sz w:val="28"/>
          <w:szCs w:val="28"/>
        </w:rPr>
        <w:t>Основною організаційною формою роботи Комісії є засідання, які проводяться у разі потреби.</w:t>
      </w:r>
    </w:p>
    <w:p w14:paraId="084A3B4D">
      <w:pPr>
        <w:widowControl w:val="0"/>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Засідання Комісії вважається правосильний, якщо на ньому присутні більш як половина її складу.</w:t>
      </w:r>
    </w:p>
    <w:p w14:paraId="22D1AACD">
      <w:pPr>
        <w:widowControl w:val="0"/>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Рішення Комісії вважається прийнятим, якщо за нього проголосувала переважна більшість присутніх членів комісії.</w:t>
      </w:r>
    </w:p>
    <w:p w14:paraId="6785C092">
      <w:pPr>
        <w:widowControl w:val="0"/>
        <w:spacing w:line="240" w:lineRule="auto"/>
        <w:ind w:right="428"/>
        <w:jc w:val="both"/>
        <w:rPr>
          <w:rFonts w:ascii="Times New Roman" w:hAnsi="Times New Roman" w:eastAsia="Cambria" w:cs="Times New Roman"/>
          <w:sz w:val="28"/>
          <w:szCs w:val="28"/>
          <w:lang w:val="uk-UA"/>
        </w:rPr>
      </w:pPr>
      <w:r>
        <w:rPr>
          <w:rFonts w:ascii="Times New Roman" w:hAnsi="Times New Roman" w:eastAsia="Cambria" w:cs="Times New Roman"/>
          <w:sz w:val="28"/>
          <w:szCs w:val="28"/>
        </w:rPr>
        <w:t>Рішення Комісії ухвалюється у формі акту</w:t>
      </w: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обстеження пошкодженого нерухомого майна з переліком пошкоджених об’єктів</w:t>
      </w:r>
      <w:r>
        <w:rPr>
          <w:rFonts w:ascii="Times New Roman" w:hAnsi="Times New Roman" w:eastAsia="Cambria" w:cs="Times New Roman"/>
          <w:sz w:val="28"/>
          <w:szCs w:val="28"/>
          <w:lang w:val="uk-UA"/>
        </w:rPr>
        <w:t>.</w:t>
      </w:r>
    </w:p>
    <w:p w14:paraId="7B1C710C">
      <w:pPr>
        <w:widowControl w:val="0"/>
        <w:spacing w:line="240" w:lineRule="auto"/>
        <w:ind w:right="428"/>
        <w:jc w:val="both"/>
        <w:rPr>
          <w:rFonts w:ascii="Times New Roman" w:hAnsi="Times New Roman" w:eastAsia="Cambria" w:cs="Times New Roman"/>
          <w:sz w:val="28"/>
          <w:szCs w:val="28"/>
          <w:lang w:val="uk-UA"/>
        </w:rPr>
      </w:pPr>
    </w:p>
    <w:p w14:paraId="11398D63">
      <w:pPr>
        <w:widowControl w:val="0"/>
        <w:spacing w:line="240" w:lineRule="auto"/>
        <w:ind w:right="428"/>
        <w:jc w:val="center"/>
        <w:rPr>
          <w:rFonts w:ascii="Times New Roman" w:hAnsi="Times New Roman" w:eastAsia="Cambria" w:cs="Times New Roman"/>
          <w:b/>
          <w:sz w:val="28"/>
          <w:szCs w:val="28"/>
        </w:rPr>
      </w:pPr>
      <w:r>
        <w:rPr>
          <w:rFonts w:ascii="Times New Roman" w:hAnsi="Times New Roman" w:eastAsia="Cambria" w:cs="Times New Roman"/>
          <w:b/>
          <w:sz w:val="28"/>
          <w:szCs w:val="28"/>
        </w:rPr>
        <w:t>III. Завдання та повноваження Комісії</w:t>
      </w:r>
    </w:p>
    <w:p w14:paraId="67F1DB77">
      <w:pPr>
        <w:widowControl w:val="0"/>
        <w:spacing w:line="240" w:lineRule="auto"/>
        <w:ind w:right="428" w:firstLine="720"/>
        <w:jc w:val="both"/>
        <w:rPr>
          <w:rFonts w:ascii="Times New Roman" w:hAnsi="Times New Roman" w:eastAsia="Cambria" w:cs="Times New Roman"/>
          <w:sz w:val="28"/>
          <w:szCs w:val="28"/>
        </w:rPr>
      </w:pPr>
      <w:r>
        <w:rPr>
          <w:rFonts w:ascii="Times New Roman" w:hAnsi="Times New Roman" w:eastAsia="Cambria" w:cs="Times New Roman"/>
          <w:sz w:val="28"/>
          <w:szCs w:val="28"/>
        </w:rPr>
        <w:t>Основним завданням Комісії є проведення обстеження об’єктів нерухомого майна, зруйнованого внаслідок надзвичайної ситуації воєнного характеру, спричиненої збройною агресією російської федерації.</w:t>
      </w:r>
    </w:p>
    <w:p w14:paraId="447D4F87">
      <w:pPr>
        <w:widowControl w:val="0"/>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До повноважень Комісії належить:</w:t>
      </w:r>
    </w:p>
    <w:p w14:paraId="1660CC15">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розгляд заяв та доданих до них документів;</w:t>
      </w:r>
    </w:p>
    <w:p w14:paraId="1A81F389">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проведення обстеження пошкодженого або зруйнованого нерухомого майна внаслідок надзвичайної ситуації;</w:t>
      </w:r>
    </w:p>
    <w:p w14:paraId="06688133">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складання акту обстеження нерухомого майна, зруйнованого (пошкодженого) внаслідок надзвичайної ситуації воєнного характеру, спричиненої збройною агресією російської федерації;</w:t>
      </w:r>
    </w:p>
    <w:p w14:paraId="72313E5E">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 xml:space="preserve">розгляд інших питань, що стосуються рішень, які можуть бути прийняті відповідно до цього </w:t>
      </w:r>
      <w:r>
        <w:rPr>
          <w:rFonts w:ascii="Times New Roman" w:hAnsi="Times New Roman" w:eastAsia="Cambria" w:cs="Times New Roman"/>
          <w:sz w:val="28"/>
          <w:szCs w:val="28"/>
          <w:lang w:val="uk-UA"/>
        </w:rPr>
        <w:t>Порядку</w:t>
      </w:r>
      <w:r>
        <w:rPr>
          <w:rFonts w:ascii="Times New Roman" w:hAnsi="Times New Roman" w:eastAsia="Cambria" w:cs="Times New Roman"/>
          <w:sz w:val="28"/>
          <w:szCs w:val="28"/>
        </w:rPr>
        <w:t>.</w:t>
      </w:r>
    </w:p>
    <w:p w14:paraId="663288DE">
      <w:pPr>
        <w:widowControl w:val="0"/>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Для проведення обстеження нерухомого майна, зруйнованого внаслідок надзвичайної ситуації воєнного характеру, спричиненої збройною агресією російської федерації, та для визнання особи постраждалою внаслідок надзвичайної ситуації заявники подають до Комісії такі документи на кожен окремий об’єкт</w:t>
      </w: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нерухомого майна:</w:t>
      </w:r>
    </w:p>
    <w:p w14:paraId="1822C974">
      <w:pPr>
        <w:widowControl w:val="0"/>
        <w:spacing w:line="240" w:lineRule="auto"/>
        <w:ind w:right="428"/>
        <w:jc w:val="both"/>
        <w:rPr>
          <w:rFonts w:ascii="Times New Roman" w:hAnsi="Times New Roman" w:eastAsia="Cambria" w:cs="Times New Roman"/>
          <w:sz w:val="28"/>
          <w:szCs w:val="28"/>
        </w:rPr>
      </w:pPr>
    </w:p>
    <w:p w14:paraId="3BB99C11">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заяву про проведення обстеження нерухомого майна, зруйнованого  чи пошкодженого внаслідок надзвичайної ситуації воєнного характеру, спричиненої збройною агресією російської федерації;</w:t>
      </w:r>
    </w:p>
    <w:p w14:paraId="5AA515D6">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копію документа, що посвідчує особу та підтверджує громадянство України, або документа, що посвідчує особу та підтверджує її спеціальний статус;</w:t>
      </w:r>
    </w:p>
    <w:p w14:paraId="0A438E88">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rPr>
        <w:t>копію одного з передбачених Податковим кодексом України документа з даними про реєстраційний номер облікової картки платника податків (крім випадків, коли постраждалим є іноземець, особа без громадянства або особа,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 (крім іноземців та осіб без громадянства);</w:t>
      </w:r>
    </w:p>
    <w:p w14:paraId="5CBFBE70">
      <w:pPr>
        <w:pStyle w:val="11"/>
        <w:widowControl w:val="0"/>
        <w:numPr>
          <w:ilvl w:val="0"/>
          <w:numId w:val="3"/>
        </w:numPr>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highlight w:val="white"/>
        </w:rPr>
        <w:t xml:space="preserve">інформацію (інформаційну довідку або копію витягу) з Державного реєстру речових прав на нерухоме майно або копії документів, що підтверджують наявність права власності у заявника на </w:t>
      </w:r>
      <w:r>
        <w:rPr>
          <w:rFonts w:ascii="Times New Roman" w:hAnsi="Times New Roman" w:eastAsia="Cambria" w:cs="Times New Roman"/>
          <w:sz w:val="28"/>
          <w:szCs w:val="28"/>
        </w:rPr>
        <w:t>нерухомого майна</w:t>
      </w:r>
      <w:r>
        <w:rPr>
          <w:rFonts w:ascii="Times New Roman" w:hAnsi="Times New Roman" w:eastAsia="Cambria" w:cs="Times New Roman"/>
          <w:sz w:val="28"/>
          <w:szCs w:val="28"/>
          <w:highlight w:val="white"/>
        </w:rPr>
        <w:t xml:space="preserve"> на момент подання заяви про проведення обстеження</w:t>
      </w:r>
      <w:r>
        <w:rPr>
          <w:rFonts w:ascii="Times New Roman" w:hAnsi="Times New Roman" w:eastAsia="Cambria" w:cs="Times New Roman"/>
          <w:sz w:val="28"/>
          <w:szCs w:val="28"/>
        </w:rPr>
        <w:t xml:space="preserve"> чи інший документ, що підтверджує право заявника на пошкоджене (зруйноване) нерухоме майно;</w:t>
      </w:r>
    </w:p>
    <w:p w14:paraId="42F9B005">
      <w:pPr>
        <w:widowControl w:val="0"/>
        <w:spacing w:line="240" w:lineRule="auto"/>
        <w:ind w:right="428" w:firstLine="426"/>
        <w:jc w:val="both"/>
        <w:rPr>
          <w:rFonts w:ascii="Times New Roman" w:hAnsi="Times New Roman" w:eastAsia="Cambria" w:cs="Times New Roman"/>
          <w:sz w:val="28"/>
          <w:szCs w:val="28"/>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У разі коли зруйноване чи пошкоджене нерухомого майна перебуває у спільній частковій/сумісній власності кількох постраждалих, заява для проведення обстеження може подаватись одним з співвласників або його представником, який діє на підставі довіреності (далі – представник).</w:t>
      </w:r>
    </w:p>
    <w:p w14:paraId="4FD7A4C1">
      <w:pPr>
        <w:widowControl w:val="0"/>
        <w:spacing w:line="240" w:lineRule="auto"/>
        <w:ind w:right="428" w:firstLine="426"/>
        <w:jc w:val="both"/>
        <w:rPr>
          <w:rFonts w:ascii="Times New Roman" w:hAnsi="Times New Roman" w:eastAsia="Cambria" w:cs="Times New Roman"/>
          <w:sz w:val="28"/>
          <w:szCs w:val="28"/>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 xml:space="preserve">Комісія складає акт </w:t>
      </w:r>
      <w:r>
        <w:rPr>
          <w:rFonts w:ascii="Times New Roman" w:hAnsi="Times New Roman" w:eastAsia="Cambria" w:cs="Times New Roman"/>
          <w:sz w:val="28"/>
          <w:szCs w:val="28"/>
          <w:lang w:val="uk-UA"/>
        </w:rPr>
        <w:t xml:space="preserve">комісійного </w:t>
      </w:r>
      <w:r>
        <w:rPr>
          <w:rFonts w:ascii="Times New Roman" w:hAnsi="Times New Roman" w:eastAsia="Cambria" w:cs="Times New Roman"/>
          <w:sz w:val="28"/>
          <w:szCs w:val="28"/>
        </w:rPr>
        <w:t xml:space="preserve">обстеження </w:t>
      </w:r>
      <w:r>
        <w:rPr>
          <w:rFonts w:ascii="Times New Roman" w:hAnsi="Times New Roman" w:eastAsia="Cambria" w:cs="Times New Roman"/>
          <w:sz w:val="28"/>
          <w:szCs w:val="28"/>
          <w:lang w:val="uk-UA"/>
        </w:rPr>
        <w:t>об</w:t>
      </w:r>
      <w:r>
        <w:rPr>
          <w:rFonts w:ascii="Times New Roman" w:hAnsi="Times New Roman" w:eastAsia="Cambria" w:cs="Times New Roman"/>
          <w:sz w:val="28"/>
          <w:szCs w:val="28"/>
        </w:rPr>
        <w:t>’</w:t>
      </w:r>
      <w:r>
        <w:rPr>
          <w:rFonts w:ascii="Times New Roman" w:hAnsi="Times New Roman" w:eastAsia="Cambria" w:cs="Times New Roman"/>
          <w:sz w:val="28"/>
          <w:szCs w:val="28"/>
          <w:lang w:val="uk-UA"/>
        </w:rPr>
        <w:t xml:space="preserve">єкта, </w:t>
      </w:r>
      <w:r>
        <w:rPr>
          <w:rFonts w:ascii="Times New Roman" w:hAnsi="Times New Roman" w:eastAsia="Cambria" w:cs="Times New Roman"/>
          <w:sz w:val="28"/>
          <w:szCs w:val="28"/>
        </w:rPr>
        <w:t xml:space="preserve">пошкодженого </w:t>
      </w:r>
      <w:r>
        <w:rPr>
          <w:rFonts w:ascii="Times New Roman" w:hAnsi="Times New Roman" w:eastAsia="Cambria" w:cs="Times New Roman"/>
          <w:sz w:val="28"/>
          <w:szCs w:val="28"/>
          <w:lang w:val="uk-UA"/>
        </w:rPr>
        <w:t>(</w:t>
      </w:r>
      <w:r>
        <w:rPr>
          <w:rFonts w:ascii="Times New Roman" w:hAnsi="Times New Roman" w:eastAsia="Cambria" w:cs="Times New Roman"/>
          <w:sz w:val="28"/>
          <w:szCs w:val="28"/>
        </w:rPr>
        <w:t>зруйнованого</w:t>
      </w:r>
      <w:r>
        <w:rPr>
          <w:rFonts w:ascii="Times New Roman" w:hAnsi="Times New Roman" w:eastAsia="Cambria" w:cs="Times New Roman"/>
          <w:sz w:val="28"/>
          <w:szCs w:val="28"/>
          <w:lang w:val="uk-UA"/>
        </w:rPr>
        <w:t>)</w:t>
      </w:r>
      <w:r>
        <w:rPr>
          <w:rFonts w:ascii="Times New Roman" w:hAnsi="Times New Roman" w:eastAsia="Cambria" w:cs="Times New Roman"/>
          <w:sz w:val="28"/>
          <w:szCs w:val="28"/>
        </w:rPr>
        <w:t xml:space="preserve"> внаслідок збройно</w:t>
      </w:r>
      <w:r>
        <w:rPr>
          <w:rFonts w:ascii="Times New Roman" w:hAnsi="Times New Roman" w:eastAsia="Cambria" w:cs="Times New Roman"/>
          <w:sz w:val="28"/>
          <w:szCs w:val="28"/>
          <w:lang w:val="uk-UA"/>
        </w:rPr>
        <w:t>ї</w:t>
      </w:r>
      <w:r>
        <w:rPr>
          <w:rFonts w:ascii="Times New Roman" w:hAnsi="Times New Roman" w:eastAsia="Cambria" w:cs="Times New Roman"/>
          <w:sz w:val="28"/>
          <w:szCs w:val="28"/>
        </w:rPr>
        <w:t xml:space="preserve"> агресі</w:t>
      </w:r>
      <w:r>
        <w:rPr>
          <w:rFonts w:ascii="Times New Roman" w:hAnsi="Times New Roman" w:eastAsia="Cambria" w:cs="Times New Roman"/>
          <w:sz w:val="28"/>
          <w:szCs w:val="28"/>
          <w:lang w:val="uk-UA"/>
        </w:rPr>
        <w:t>ї</w:t>
      </w:r>
      <w:r>
        <w:rPr>
          <w:rFonts w:ascii="Times New Roman" w:hAnsi="Times New Roman" w:eastAsia="Cambria" w:cs="Times New Roman"/>
          <w:sz w:val="28"/>
          <w:szCs w:val="28"/>
        </w:rPr>
        <w:t xml:space="preserve"> російської федерації (далі – акт обстеження</w:t>
      </w: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за формою з урахуванням вимог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(зі змінами).</w:t>
      </w:r>
    </w:p>
    <w:p w14:paraId="307FE6F0">
      <w:pPr>
        <w:widowControl w:val="0"/>
        <w:spacing w:line="240" w:lineRule="auto"/>
        <w:ind w:right="428" w:firstLine="426"/>
        <w:jc w:val="both"/>
        <w:rPr>
          <w:rFonts w:ascii="Times New Roman" w:hAnsi="Times New Roman" w:eastAsia="Cambria" w:cs="Times New Roman"/>
          <w:sz w:val="28"/>
          <w:szCs w:val="28"/>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В акті обстеження зазначається загальна характеристика пошкоджень, з орієнтовним обсягом пошкоджень. Та ухвалюється висновок про технічний стан нерухомого майна на момент його обстеження: зруйноване чи пошкоджене, (в разі пошкодження об’єкта нерухомого майна, потребує поточного ремонту або потребує технічного обстеження).</w:t>
      </w:r>
    </w:p>
    <w:p w14:paraId="48AC8D14">
      <w:pPr>
        <w:widowControl w:val="0"/>
        <w:tabs>
          <w:tab w:val="left" w:pos="1065"/>
        </w:tabs>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lang w:val="uk-UA"/>
        </w:rPr>
        <w:t xml:space="preserve">           </w:t>
      </w:r>
      <w:r>
        <w:rPr>
          <w:rFonts w:ascii="Times New Roman" w:hAnsi="Times New Roman" w:eastAsia="Cambria" w:cs="Times New Roman"/>
          <w:sz w:val="28"/>
          <w:szCs w:val="28"/>
        </w:rPr>
        <w:t>Під час проведення обстеження нерухомого майна та складання акту обстеження можуть враховуватись інші документи, в яких зафіксовано факт руйнування майна. До акту обстеження можуть долучатись письмові пояснення свідків, а також відео та/або фото матеріали. Пояснення свідків адресуються на ім’я голови комісії та обов’язково повинні містити всі необхідні дані про особу (ПІБ, адреса реєстрації та проживання, контактний телефон/електронну пошту, паспортні дані тощо), а також джерела поінформованості особи (очевидець, інформація від третіх осіб тощо). Всі документи та матеріали, які долучаються до акту обстеження, зазначаються в акті обстеження.</w:t>
      </w:r>
    </w:p>
    <w:p w14:paraId="5FCBACB0">
      <w:pPr>
        <w:widowControl w:val="0"/>
        <w:spacing w:line="240" w:lineRule="auto"/>
        <w:ind w:right="428" w:firstLine="720"/>
        <w:jc w:val="both"/>
        <w:rPr>
          <w:rFonts w:ascii="Times New Roman" w:hAnsi="Times New Roman" w:eastAsia="Cambria" w:cs="Times New Roman"/>
          <w:sz w:val="28"/>
          <w:szCs w:val="28"/>
          <w:highlight w:val="white"/>
        </w:rPr>
      </w:pPr>
      <w:r>
        <w:rPr>
          <w:rFonts w:ascii="Times New Roman" w:hAnsi="Times New Roman" w:eastAsia="Cambria" w:cs="Times New Roman"/>
          <w:sz w:val="28"/>
          <w:szCs w:val="28"/>
          <w:highlight w:val="white"/>
        </w:rPr>
        <w:t xml:space="preserve">У разі подання заявником або його представником неповного пакета документів, необхідних для проведення обстеження </w:t>
      </w:r>
      <w:r>
        <w:rPr>
          <w:rFonts w:ascii="Times New Roman" w:hAnsi="Times New Roman" w:eastAsia="Cambria" w:cs="Times New Roman"/>
          <w:sz w:val="28"/>
          <w:szCs w:val="28"/>
        </w:rPr>
        <w:t>нерухомого майна</w:t>
      </w:r>
      <w:r>
        <w:rPr>
          <w:rFonts w:ascii="Times New Roman" w:hAnsi="Times New Roman" w:eastAsia="Cambria" w:cs="Times New Roman"/>
          <w:sz w:val="28"/>
          <w:szCs w:val="28"/>
          <w:highlight w:val="white"/>
        </w:rPr>
        <w:t xml:space="preserve">, визначених у цьому Порядку, або наявності в поданих документах технічних помилок чи інших </w:t>
      </w:r>
    </w:p>
    <w:p w14:paraId="37CB76AB">
      <w:pPr>
        <w:widowControl w:val="0"/>
        <w:spacing w:line="240" w:lineRule="auto"/>
        <w:ind w:right="428"/>
        <w:jc w:val="both"/>
        <w:rPr>
          <w:rFonts w:ascii="Times New Roman" w:hAnsi="Times New Roman" w:eastAsia="Cambria" w:cs="Times New Roman"/>
          <w:sz w:val="28"/>
          <w:szCs w:val="28"/>
          <w:highlight w:val="white"/>
        </w:rPr>
      </w:pPr>
    </w:p>
    <w:p w14:paraId="4D13664A">
      <w:pPr>
        <w:widowControl w:val="0"/>
        <w:spacing w:line="240" w:lineRule="auto"/>
        <w:ind w:right="428"/>
        <w:jc w:val="both"/>
        <w:rPr>
          <w:rFonts w:ascii="Times New Roman" w:hAnsi="Times New Roman" w:eastAsia="Cambria" w:cs="Times New Roman"/>
          <w:sz w:val="28"/>
          <w:szCs w:val="28"/>
        </w:rPr>
      </w:pPr>
      <w:r>
        <w:rPr>
          <w:rFonts w:ascii="Times New Roman" w:hAnsi="Times New Roman" w:eastAsia="Cambria" w:cs="Times New Roman"/>
          <w:sz w:val="28"/>
          <w:szCs w:val="28"/>
          <w:highlight w:val="white"/>
        </w:rPr>
        <w:t>недоліків комісія надає можливість заявнику або його представнику протягом десяти календарних днів з дня повідомлення про виявлення такого факту надати відсутні документи або усунути відповідні недоліки. У разі не усунення недоліків в установлений строк всі документи повертаються за рішенням комісії заявнику або його представнику.</w:t>
      </w:r>
    </w:p>
    <w:p w14:paraId="71544D41">
      <w:pPr>
        <w:widowControl w:val="0"/>
        <w:spacing w:line="240" w:lineRule="auto"/>
        <w:ind w:right="428" w:firstLine="720"/>
        <w:jc w:val="both"/>
        <w:rPr>
          <w:rFonts w:ascii="Times New Roman" w:hAnsi="Times New Roman" w:eastAsia="Cambria" w:cs="Times New Roman"/>
          <w:sz w:val="28"/>
          <w:szCs w:val="28"/>
        </w:rPr>
      </w:pPr>
      <w:r>
        <w:rPr>
          <w:rFonts w:ascii="Times New Roman" w:hAnsi="Times New Roman" w:eastAsia="Cambria" w:cs="Times New Roman"/>
          <w:sz w:val="28"/>
          <w:szCs w:val="28"/>
        </w:rPr>
        <w:t xml:space="preserve">Питання компенсації не регулюється цим </w:t>
      </w:r>
      <w:r>
        <w:rPr>
          <w:rFonts w:ascii="Times New Roman" w:hAnsi="Times New Roman" w:eastAsia="Cambria" w:cs="Times New Roman"/>
          <w:sz w:val="28"/>
          <w:szCs w:val="28"/>
          <w:lang w:val="uk-UA"/>
        </w:rPr>
        <w:t>Порядком</w:t>
      </w:r>
      <w:r>
        <w:rPr>
          <w:rFonts w:ascii="Times New Roman" w:hAnsi="Times New Roman" w:eastAsia="Cambria" w:cs="Times New Roman"/>
          <w:sz w:val="28"/>
          <w:szCs w:val="28"/>
        </w:rPr>
        <w:t xml:space="preserve"> і не вирішується Комісією. Складені комісією документи не встановлюють обов’язку, щодо виплати компенсації органами місцевого самоврядування.</w:t>
      </w:r>
    </w:p>
    <w:p w14:paraId="1338BCB4">
      <w:pPr>
        <w:widowControl w:val="0"/>
        <w:spacing w:line="240" w:lineRule="auto"/>
        <w:ind w:right="428" w:firstLine="720"/>
        <w:jc w:val="both"/>
        <w:rPr>
          <w:rFonts w:ascii="Times New Roman" w:hAnsi="Times New Roman" w:eastAsia="Cambria" w:cs="Times New Roman"/>
          <w:sz w:val="28"/>
          <w:szCs w:val="28"/>
        </w:rPr>
      </w:pPr>
    </w:p>
    <w:p w14:paraId="1CA7B51B">
      <w:pPr>
        <w:widowControl w:val="0"/>
        <w:spacing w:line="240" w:lineRule="auto"/>
        <w:ind w:right="428" w:firstLine="720"/>
        <w:jc w:val="both"/>
        <w:rPr>
          <w:rFonts w:ascii="Times New Roman" w:hAnsi="Times New Roman" w:eastAsia="Cambria" w:cs="Times New Roman"/>
          <w:sz w:val="28"/>
          <w:szCs w:val="28"/>
        </w:rPr>
      </w:pPr>
    </w:p>
    <w:p w14:paraId="4BCBF25C">
      <w:pPr>
        <w:widowControl w:val="0"/>
        <w:spacing w:line="240" w:lineRule="auto"/>
        <w:ind w:right="428"/>
        <w:jc w:val="both"/>
        <w:rPr>
          <w:rFonts w:ascii="Times New Roman" w:hAnsi="Times New Roman" w:eastAsia="Cambria" w:cs="Times New Roman"/>
          <w:b/>
          <w:bCs/>
          <w:sz w:val="28"/>
          <w:szCs w:val="28"/>
          <w:lang w:val="uk-UA"/>
        </w:rPr>
      </w:pPr>
      <w:r>
        <w:rPr>
          <w:rFonts w:ascii="Times New Roman" w:hAnsi="Times New Roman" w:eastAsia="Cambria" w:cs="Times New Roman"/>
          <w:b/>
          <w:bCs/>
          <w:sz w:val="28"/>
          <w:szCs w:val="28"/>
          <w:lang w:val="uk-UA"/>
        </w:rPr>
        <w:t>Сільський голова                                                          Анатолій БОЯРЧУК</w:t>
      </w:r>
    </w:p>
    <w:p w14:paraId="7481FEFA">
      <w:pPr>
        <w:tabs>
          <w:tab w:val="center" w:pos="4749"/>
        </w:tabs>
      </w:pPr>
    </w:p>
    <w:sectPr>
      <w:pgSz w:w="11906" w:h="16838"/>
      <w:pgMar w:top="850" w:right="567"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1">
    <w:nsid w:val="00000001"/>
    <w:multiLevelType w:val="singleLevel"/>
    <w:tmpl w:val="00000001"/>
    <w:lvl w:ilvl="0" w:tentative="0">
      <w:start w:val="27"/>
      <w:numFmt w:val="bullet"/>
      <w:lvlText w:val="-"/>
      <w:lvlJc w:val="left"/>
      <w:pPr>
        <w:tabs>
          <w:tab w:val="left" w:pos="0"/>
        </w:tabs>
        <w:ind w:left="720" w:hanging="360"/>
      </w:pPr>
      <w:rPr>
        <w:rFonts w:hint="default" w:ascii="Times New Roman" w:hAnsi="Times New Roman" w:cs="Times New Roman"/>
      </w:rPr>
    </w:lvl>
  </w:abstractNum>
  <w:abstractNum w:abstractNumId="2">
    <w:nsid w:val="1B5A7A2B"/>
    <w:multiLevelType w:val="multilevel"/>
    <w:tmpl w:val="1B5A7A2B"/>
    <w:lvl w:ilvl="0" w:tentative="0">
      <w:start w:val="3"/>
      <w:numFmt w:val="bullet"/>
      <w:lvlText w:val="-"/>
      <w:lvlJc w:val="left"/>
      <w:pPr>
        <w:ind w:left="786" w:hanging="360"/>
      </w:pPr>
      <w:rPr>
        <w:rFonts w:hint="default" w:ascii="Times New Roman" w:hAnsi="Times New Roman" w:eastAsia="Cambria" w:cs="Times New Roman"/>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74ED2"/>
    <w:rsid w:val="000858BB"/>
    <w:rsid w:val="000938BE"/>
    <w:rsid w:val="000A0024"/>
    <w:rsid w:val="000A3570"/>
    <w:rsid w:val="000A7206"/>
    <w:rsid w:val="000C45C6"/>
    <w:rsid w:val="000C4F90"/>
    <w:rsid w:val="000D12B4"/>
    <w:rsid w:val="000F54D3"/>
    <w:rsid w:val="00107D61"/>
    <w:rsid w:val="001210C5"/>
    <w:rsid w:val="00125C24"/>
    <w:rsid w:val="00150B08"/>
    <w:rsid w:val="001629C1"/>
    <w:rsid w:val="001668A2"/>
    <w:rsid w:val="001825E5"/>
    <w:rsid w:val="00197AC5"/>
    <w:rsid w:val="001A7409"/>
    <w:rsid w:val="001B5814"/>
    <w:rsid w:val="001C1FC7"/>
    <w:rsid w:val="001D0E9C"/>
    <w:rsid w:val="001E6140"/>
    <w:rsid w:val="00217DFA"/>
    <w:rsid w:val="002201A9"/>
    <w:rsid w:val="00232DD2"/>
    <w:rsid w:val="00232EED"/>
    <w:rsid w:val="00234F6F"/>
    <w:rsid w:val="002409A2"/>
    <w:rsid w:val="00266EB3"/>
    <w:rsid w:val="00271F5F"/>
    <w:rsid w:val="002A204C"/>
    <w:rsid w:val="002B01A9"/>
    <w:rsid w:val="002B7297"/>
    <w:rsid w:val="002D6D75"/>
    <w:rsid w:val="0039710D"/>
    <w:rsid w:val="003A696E"/>
    <w:rsid w:val="003A74A7"/>
    <w:rsid w:val="003B5C05"/>
    <w:rsid w:val="003E2C46"/>
    <w:rsid w:val="0040292C"/>
    <w:rsid w:val="004071B3"/>
    <w:rsid w:val="00407AD0"/>
    <w:rsid w:val="0041168E"/>
    <w:rsid w:val="004235E6"/>
    <w:rsid w:val="00436BF8"/>
    <w:rsid w:val="0046430B"/>
    <w:rsid w:val="00464906"/>
    <w:rsid w:val="00494FE8"/>
    <w:rsid w:val="00497A37"/>
    <w:rsid w:val="004B5C68"/>
    <w:rsid w:val="004C0AF1"/>
    <w:rsid w:val="004D1A21"/>
    <w:rsid w:val="004F367D"/>
    <w:rsid w:val="00517129"/>
    <w:rsid w:val="00561282"/>
    <w:rsid w:val="00561544"/>
    <w:rsid w:val="005813D0"/>
    <w:rsid w:val="005922FB"/>
    <w:rsid w:val="005C0019"/>
    <w:rsid w:val="005C05E4"/>
    <w:rsid w:val="005D299E"/>
    <w:rsid w:val="00605927"/>
    <w:rsid w:val="0061281C"/>
    <w:rsid w:val="0063012B"/>
    <w:rsid w:val="0063245D"/>
    <w:rsid w:val="0063634E"/>
    <w:rsid w:val="0063647C"/>
    <w:rsid w:val="006442B3"/>
    <w:rsid w:val="00647F26"/>
    <w:rsid w:val="00654A41"/>
    <w:rsid w:val="00663C6A"/>
    <w:rsid w:val="0066524A"/>
    <w:rsid w:val="0068496F"/>
    <w:rsid w:val="00687047"/>
    <w:rsid w:val="00694329"/>
    <w:rsid w:val="006A1CB4"/>
    <w:rsid w:val="006E78EE"/>
    <w:rsid w:val="007261C4"/>
    <w:rsid w:val="00787F07"/>
    <w:rsid w:val="00797DD7"/>
    <w:rsid w:val="007A6319"/>
    <w:rsid w:val="007B0C6A"/>
    <w:rsid w:val="007B7A38"/>
    <w:rsid w:val="007D45AC"/>
    <w:rsid w:val="007D50C2"/>
    <w:rsid w:val="00824CE8"/>
    <w:rsid w:val="008400BA"/>
    <w:rsid w:val="0086583C"/>
    <w:rsid w:val="00866A0C"/>
    <w:rsid w:val="00867F0C"/>
    <w:rsid w:val="008846D8"/>
    <w:rsid w:val="008879E6"/>
    <w:rsid w:val="008A0095"/>
    <w:rsid w:val="008A4F8D"/>
    <w:rsid w:val="008B5577"/>
    <w:rsid w:val="008D4C58"/>
    <w:rsid w:val="00900F8C"/>
    <w:rsid w:val="00903BCF"/>
    <w:rsid w:val="0091575E"/>
    <w:rsid w:val="0093325F"/>
    <w:rsid w:val="00933E19"/>
    <w:rsid w:val="0093725D"/>
    <w:rsid w:val="009443A3"/>
    <w:rsid w:val="009515AC"/>
    <w:rsid w:val="00961771"/>
    <w:rsid w:val="009660F0"/>
    <w:rsid w:val="00980639"/>
    <w:rsid w:val="00986183"/>
    <w:rsid w:val="009A3276"/>
    <w:rsid w:val="009A5C4C"/>
    <w:rsid w:val="009E207A"/>
    <w:rsid w:val="009E2411"/>
    <w:rsid w:val="009F6DC7"/>
    <w:rsid w:val="00A111E9"/>
    <w:rsid w:val="00A24F40"/>
    <w:rsid w:val="00A31283"/>
    <w:rsid w:val="00A7010B"/>
    <w:rsid w:val="00A72554"/>
    <w:rsid w:val="00A81336"/>
    <w:rsid w:val="00A9160C"/>
    <w:rsid w:val="00AC061A"/>
    <w:rsid w:val="00AC0B4E"/>
    <w:rsid w:val="00AC63B2"/>
    <w:rsid w:val="00AC6F36"/>
    <w:rsid w:val="00AD0543"/>
    <w:rsid w:val="00AE5105"/>
    <w:rsid w:val="00AF2825"/>
    <w:rsid w:val="00AF608B"/>
    <w:rsid w:val="00B268BC"/>
    <w:rsid w:val="00B45F11"/>
    <w:rsid w:val="00B462E1"/>
    <w:rsid w:val="00B47877"/>
    <w:rsid w:val="00B53F8F"/>
    <w:rsid w:val="00B61709"/>
    <w:rsid w:val="00B754D3"/>
    <w:rsid w:val="00B75796"/>
    <w:rsid w:val="00B80F75"/>
    <w:rsid w:val="00B96433"/>
    <w:rsid w:val="00BA3A4D"/>
    <w:rsid w:val="00BA52DE"/>
    <w:rsid w:val="00BA6AD7"/>
    <w:rsid w:val="00BB2B9A"/>
    <w:rsid w:val="00BD14BB"/>
    <w:rsid w:val="00BE5952"/>
    <w:rsid w:val="00BE6AA8"/>
    <w:rsid w:val="00C06F8E"/>
    <w:rsid w:val="00C07F20"/>
    <w:rsid w:val="00C16939"/>
    <w:rsid w:val="00C36C89"/>
    <w:rsid w:val="00C50BF9"/>
    <w:rsid w:val="00C62321"/>
    <w:rsid w:val="00C65FAC"/>
    <w:rsid w:val="00CA42CB"/>
    <w:rsid w:val="00CB75C0"/>
    <w:rsid w:val="00CC7E9E"/>
    <w:rsid w:val="00CE3038"/>
    <w:rsid w:val="00CE591C"/>
    <w:rsid w:val="00D06FC8"/>
    <w:rsid w:val="00D267B4"/>
    <w:rsid w:val="00D27361"/>
    <w:rsid w:val="00D32377"/>
    <w:rsid w:val="00D32537"/>
    <w:rsid w:val="00D362D4"/>
    <w:rsid w:val="00D419CE"/>
    <w:rsid w:val="00D56743"/>
    <w:rsid w:val="00D62EC4"/>
    <w:rsid w:val="00D67735"/>
    <w:rsid w:val="00DB004D"/>
    <w:rsid w:val="00DB046F"/>
    <w:rsid w:val="00DB36FE"/>
    <w:rsid w:val="00DB5535"/>
    <w:rsid w:val="00DC4043"/>
    <w:rsid w:val="00DD06B8"/>
    <w:rsid w:val="00DD0CE7"/>
    <w:rsid w:val="00DD3170"/>
    <w:rsid w:val="00DD4241"/>
    <w:rsid w:val="00DD57EF"/>
    <w:rsid w:val="00DE3CC6"/>
    <w:rsid w:val="00DE60B8"/>
    <w:rsid w:val="00E01614"/>
    <w:rsid w:val="00E45E23"/>
    <w:rsid w:val="00E51CB7"/>
    <w:rsid w:val="00E54564"/>
    <w:rsid w:val="00E54D01"/>
    <w:rsid w:val="00E629E1"/>
    <w:rsid w:val="00E922C2"/>
    <w:rsid w:val="00EA0D30"/>
    <w:rsid w:val="00EA59B6"/>
    <w:rsid w:val="00EB6E6B"/>
    <w:rsid w:val="00EC0B83"/>
    <w:rsid w:val="00EC471A"/>
    <w:rsid w:val="00EC710F"/>
    <w:rsid w:val="00EF4A9A"/>
    <w:rsid w:val="00EF7608"/>
    <w:rsid w:val="00F0074A"/>
    <w:rsid w:val="00F01BA3"/>
    <w:rsid w:val="00F16479"/>
    <w:rsid w:val="00F3015F"/>
    <w:rsid w:val="00F30471"/>
    <w:rsid w:val="00F45EE2"/>
    <w:rsid w:val="00F63E92"/>
    <w:rsid w:val="00F6524D"/>
    <w:rsid w:val="00F97398"/>
    <w:rsid w:val="00FA5EE2"/>
    <w:rsid w:val="00FC7E16"/>
    <w:rsid w:val="00FD25ED"/>
    <w:rsid w:val="00FD7368"/>
    <w:rsid w:val="00FE7198"/>
    <w:rsid w:val="00FE768F"/>
    <w:rsid w:val="00FE7AB8"/>
    <w:rsid w:val="0FE54C8F"/>
    <w:rsid w:val="20F0365A"/>
    <w:rsid w:val="44721EA4"/>
    <w:rsid w:val="4FE6204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0"/>
    <w:semiHidden/>
    <w:unhideWhenUsed/>
    <w:qFormat/>
    <w:uiPriority w:val="99"/>
    <w:rPr>
      <w:rFonts w:ascii="Tahoma" w:hAnsi="Tahoma" w:cs="Tahoma"/>
      <w:sz w:val="16"/>
      <w:szCs w:val="16"/>
    </w:rPr>
  </w:style>
  <w:style w:type="paragraph" w:styleId="6">
    <w:name w:val="Body Text"/>
    <w:basedOn w:val="1"/>
    <w:link w:val="14"/>
    <w:qFormat/>
    <w:uiPriority w:val="99"/>
    <w:pPr>
      <w:tabs>
        <w:tab w:val="left" w:pos="2130"/>
      </w:tabs>
    </w:pPr>
    <w:rPr>
      <w:rFonts w:eastAsia="Times New Roman"/>
      <w:sz w:val="28"/>
      <w:szCs w:val="14"/>
    </w:rPr>
  </w:style>
  <w:style w:type="paragraph" w:styleId="7">
    <w:name w:val="List Bullet"/>
    <w:basedOn w:val="1"/>
    <w:unhideWhenUsed/>
    <w:qFormat/>
    <w:uiPriority w:val="99"/>
    <w:pPr>
      <w:numPr>
        <w:ilvl w:val="0"/>
        <w:numId w:val="1"/>
      </w:numPr>
      <w:contextualSpacing/>
    </w:pPr>
  </w:style>
  <w:style w:type="paragraph" w:styleId="8">
    <w:name w:val="Subtitle"/>
    <w:basedOn w:val="1"/>
    <w:next w:val="1"/>
    <w:link w:val="15"/>
    <w:qFormat/>
    <w:uiPriority w:val="11"/>
    <w:pPr>
      <w:ind w:left="86"/>
    </w:pPr>
    <w:rPr>
      <w:rFonts w:ascii="Cambria" w:hAnsi="Cambria" w:eastAsia="Times New Roman"/>
      <w:i/>
      <w:iCs/>
      <w:color w:val="4F81BD"/>
      <w:spacing w:val="15"/>
      <w:sz w:val="24"/>
      <w:szCs w:val="24"/>
      <w:lang w:val="ru-RU"/>
    </w:rPr>
  </w:style>
  <w:style w:type="table" w:styleId="9">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Tahoma" w:hAnsi="Tahoma" w:eastAsia="Calibri" w:cs="Tahoma"/>
      <w:sz w:val="16"/>
      <w:szCs w:val="16"/>
      <w:lang w:eastAsia="ru-RU"/>
    </w:rPr>
  </w:style>
  <w:style w:type="paragraph" w:styleId="11">
    <w:name w:val="List Paragraph"/>
    <w:basedOn w:val="1"/>
    <w:qFormat/>
    <w:uiPriority w:val="34"/>
    <w:pPr>
      <w:ind w:left="720"/>
      <w:contextualSpacing/>
    </w:pPr>
  </w:style>
  <w:style w:type="character" w:customStyle="1" w:styleId="12">
    <w:name w:val="fontstyle13"/>
    <w:qFormat/>
    <w:uiPriority w:val="0"/>
  </w:style>
  <w:style w:type="character" w:customStyle="1" w:styleId="13">
    <w:name w:val="fontstyle11"/>
    <w:qFormat/>
    <w:uiPriority w:val="0"/>
  </w:style>
  <w:style w:type="character" w:customStyle="1" w:styleId="14">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5">
    <w:name w:val="Подзаголовок Знак"/>
    <w:basedOn w:val="2"/>
    <w:link w:val="8"/>
    <w:qFormat/>
    <w:uiPriority w:val="11"/>
    <w:rPr>
      <w:rFonts w:ascii="Cambria" w:hAnsi="Cambria" w:eastAsia="Times New Roman" w:cs="Times New Roman"/>
      <w:i/>
      <w:iCs/>
      <w:color w:val="4F81BD"/>
      <w:spacing w:val="15"/>
      <w:sz w:val="24"/>
      <w:szCs w:val="24"/>
      <w:lang w:val="ru-RU" w:eastAsia="ru-RU"/>
    </w:rPr>
  </w:style>
  <w:style w:type="paragraph" w:customStyle="1" w:styleId="16">
    <w:name w:val="Style2"/>
    <w:basedOn w:val="1"/>
    <w:qFormat/>
    <w:uiPriority w:val="0"/>
    <w:pPr>
      <w:widowControl w:val="0"/>
      <w:autoSpaceDE w:val="0"/>
      <w:autoSpaceDN w:val="0"/>
      <w:adjustRightInd w:val="0"/>
    </w:pPr>
    <w:rPr>
      <w:sz w:val="24"/>
      <w:szCs w:val="24"/>
      <w:lang w:val="ru-RU"/>
    </w:rPr>
  </w:style>
  <w:style w:type="character" w:customStyle="1" w:styleId="17">
    <w:name w:val="Font Style13"/>
    <w:qFormat/>
    <w:uiPriority w:val="0"/>
    <w:rPr>
      <w:rFonts w:hint="default" w:ascii="Times New Roman" w:hAnsi="Times New Roman" w:cs="Times New Roman"/>
      <w:spacing w:val="10"/>
      <w:sz w:val="24"/>
    </w:rPr>
  </w:style>
  <w:style w:type="table" w:customStyle="1" w:styleId="18">
    <w:name w:val="_Style 12"/>
    <w:basedOn w:val="19"/>
    <w:qFormat/>
    <w:uiPriority w:val="0"/>
    <w:rPr>
      <w:rFonts w:ascii="Cambria" w:hAnsi="Cambria" w:eastAsia="Cambria" w:cs="Cambria"/>
    </w:rPr>
    <w:tblPr>
      <w:tblCellMar>
        <w:left w:w="108" w:type="dxa"/>
        <w:right w:w="108" w:type="dxa"/>
      </w:tblCellMar>
    </w:tblPr>
  </w:style>
  <w:style w:type="table" w:customStyle="1" w:styleId="1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08705-60FC-4298-ACBB-96FA96CF58A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1188</Words>
  <Characters>678</Characters>
  <Lines>5</Lines>
  <Paragraphs>3</Paragraphs>
  <TotalTime>1</TotalTime>
  <ScaleCrop>false</ScaleCrop>
  <LinksUpToDate>false</LinksUpToDate>
  <CharactersWithSpaces>1863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2023-05-19T10:15:00Z</cp:lastPrinted>
  <dcterms:modified xsi:type="dcterms:W3CDTF">2025-05-13T11:10:28Z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6FD5E7DB009A4AAE91D6D8E72FDD466A_13</vt:lpwstr>
  </property>
</Properties>
</file>